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C7097" w14:textId="77777777" w:rsidR="0010372C" w:rsidRPr="00D25040" w:rsidRDefault="0010372C" w:rsidP="00B10430">
      <w:pPr>
        <w:spacing w:line="480" w:lineRule="auto"/>
        <w:rPr>
          <w:color w:val="000000" w:themeColor="text1"/>
          <w:sz w:val="24"/>
        </w:rPr>
      </w:pPr>
    </w:p>
    <w:p w14:paraId="13981904" w14:textId="77777777" w:rsidR="0010372C" w:rsidRPr="00D25040" w:rsidRDefault="0010372C" w:rsidP="00B10430">
      <w:pPr>
        <w:spacing w:line="480" w:lineRule="auto"/>
        <w:rPr>
          <w:color w:val="000000" w:themeColor="text1"/>
          <w:sz w:val="24"/>
        </w:rPr>
      </w:pPr>
    </w:p>
    <w:p w14:paraId="4D045EDB" w14:textId="77777777" w:rsidR="0010372C" w:rsidRPr="00D25040" w:rsidRDefault="0010372C" w:rsidP="00B10430">
      <w:pPr>
        <w:spacing w:line="480" w:lineRule="auto"/>
        <w:rPr>
          <w:color w:val="000000" w:themeColor="text1"/>
          <w:sz w:val="24"/>
        </w:rPr>
      </w:pPr>
    </w:p>
    <w:p w14:paraId="3BB7DE70" w14:textId="77777777" w:rsidR="0010372C" w:rsidRPr="00D25040" w:rsidRDefault="0010372C" w:rsidP="00B10430">
      <w:pPr>
        <w:spacing w:line="480" w:lineRule="auto"/>
        <w:rPr>
          <w:color w:val="000000" w:themeColor="text1"/>
          <w:sz w:val="24"/>
        </w:rPr>
      </w:pPr>
    </w:p>
    <w:p w14:paraId="17DD313A" w14:textId="77777777" w:rsidR="0010372C" w:rsidRPr="00D25040" w:rsidRDefault="0010372C" w:rsidP="00B10430">
      <w:pPr>
        <w:spacing w:line="480" w:lineRule="auto"/>
        <w:rPr>
          <w:color w:val="000000" w:themeColor="text1"/>
          <w:sz w:val="24"/>
        </w:rPr>
      </w:pPr>
    </w:p>
    <w:p w14:paraId="1BB63CF0" w14:textId="77777777" w:rsidR="00B74756" w:rsidRPr="00D25040" w:rsidRDefault="00B74756" w:rsidP="00B10430">
      <w:pPr>
        <w:spacing w:line="480" w:lineRule="auto"/>
        <w:rPr>
          <w:color w:val="000000" w:themeColor="text1"/>
          <w:sz w:val="24"/>
        </w:rPr>
      </w:pPr>
    </w:p>
    <w:p w14:paraId="394C85E0" w14:textId="77777777" w:rsidR="0010372C" w:rsidRPr="00D25040" w:rsidRDefault="0010372C" w:rsidP="00B10430">
      <w:pPr>
        <w:spacing w:line="480" w:lineRule="auto"/>
        <w:rPr>
          <w:color w:val="000000" w:themeColor="text1"/>
          <w:sz w:val="24"/>
        </w:rPr>
      </w:pPr>
    </w:p>
    <w:p w14:paraId="47B8AF2D" w14:textId="248E9B73" w:rsidR="0010372C" w:rsidRPr="00D25040" w:rsidRDefault="006C30B9" w:rsidP="0010372C">
      <w:pPr>
        <w:spacing w:line="480" w:lineRule="auto"/>
        <w:jc w:val="center"/>
        <w:rPr>
          <w:color w:val="000000" w:themeColor="text1"/>
          <w:sz w:val="24"/>
        </w:rPr>
      </w:pPr>
      <w:r w:rsidRPr="00D25040">
        <w:rPr>
          <w:color w:val="000000" w:themeColor="text1"/>
          <w:sz w:val="24"/>
        </w:rPr>
        <w:t xml:space="preserve">Inquiry Based </w:t>
      </w:r>
      <w:r w:rsidR="001F02B4" w:rsidRPr="00D25040">
        <w:rPr>
          <w:color w:val="000000" w:themeColor="text1"/>
          <w:sz w:val="24"/>
        </w:rPr>
        <w:t xml:space="preserve">Teaching </w:t>
      </w:r>
      <w:r w:rsidRPr="00D25040">
        <w:rPr>
          <w:color w:val="000000" w:themeColor="text1"/>
          <w:sz w:val="24"/>
        </w:rPr>
        <w:t>Methods in a Mathematics Classroom</w:t>
      </w:r>
    </w:p>
    <w:p w14:paraId="1501F616" w14:textId="77777777" w:rsidR="00F70F22" w:rsidRPr="00D25040" w:rsidRDefault="00F70F22" w:rsidP="0010372C">
      <w:pPr>
        <w:spacing w:line="480" w:lineRule="auto"/>
        <w:jc w:val="center"/>
        <w:rPr>
          <w:color w:val="000000" w:themeColor="text1"/>
          <w:sz w:val="24"/>
        </w:rPr>
      </w:pPr>
      <w:r w:rsidRPr="00D25040">
        <w:rPr>
          <w:color w:val="000000" w:themeColor="text1"/>
          <w:sz w:val="24"/>
        </w:rPr>
        <w:t>University of Portland</w:t>
      </w:r>
    </w:p>
    <w:p w14:paraId="074A5D66" w14:textId="77777777" w:rsidR="00A062FC" w:rsidRPr="00D25040" w:rsidRDefault="00A062FC" w:rsidP="00A062FC">
      <w:pPr>
        <w:spacing w:line="480" w:lineRule="auto"/>
        <w:rPr>
          <w:color w:val="000000" w:themeColor="text1"/>
          <w:sz w:val="24"/>
          <w:szCs w:val="24"/>
        </w:rPr>
      </w:pPr>
      <w:bookmarkStart w:id="0" w:name="_GoBack"/>
      <w:bookmarkEnd w:id="0"/>
    </w:p>
    <w:p w14:paraId="4AEDB665" w14:textId="77777777" w:rsidR="00A062FC" w:rsidRPr="00D25040" w:rsidRDefault="00A062FC" w:rsidP="00A062FC">
      <w:pPr>
        <w:spacing w:line="480" w:lineRule="auto"/>
        <w:rPr>
          <w:color w:val="000000" w:themeColor="text1"/>
          <w:sz w:val="24"/>
          <w:szCs w:val="24"/>
        </w:rPr>
      </w:pPr>
    </w:p>
    <w:p w14:paraId="1C7B1E34" w14:textId="77777777" w:rsidR="00A062FC" w:rsidRPr="00D25040" w:rsidRDefault="00A062FC" w:rsidP="00A062FC">
      <w:pPr>
        <w:spacing w:line="480" w:lineRule="auto"/>
        <w:rPr>
          <w:color w:val="000000" w:themeColor="text1"/>
          <w:sz w:val="24"/>
          <w:szCs w:val="24"/>
        </w:rPr>
      </w:pPr>
    </w:p>
    <w:p w14:paraId="3A427EBE" w14:textId="77777777" w:rsidR="00A062FC" w:rsidRPr="00D25040" w:rsidRDefault="00A062FC" w:rsidP="00A062FC">
      <w:pPr>
        <w:spacing w:line="480" w:lineRule="auto"/>
        <w:rPr>
          <w:color w:val="000000" w:themeColor="text1"/>
          <w:sz w:val="24"/>
          <w:szCs w:val="24"/>
        </w:rPr>
      </w:pPr>
    </w:p>
    <w:p w14:paraId="24050E4D" w14:textId="77777777" w:rsidR="00A062FC" w:rsidRPr="00D25040" w:rsidRDefault="00A062FC" w:rsidP="00A062FC">
      <w:pPr>
        <w:spacing w:line="480" w:lineRule="auto"/>
        <w:rPr>
          <w:color w:val="000000" w:themeColor="text1"/>
          <w:sz w:val="24"/>
          <w:szCs w:val="24"/>
        </w:rPr>
      </w:pPr>
    </w:p>
    <w:p w14:paraId="71025A30" w14:textId="77777777" w:rsidR="00A062FC" w:rsidRPr="00D25040" w:rsidRDefault="00A062FC" w:rsidP="00A062FC">
      <w:pPr>
        <w:spacing w:line="480" w:lineRule="auto"/>
        <w:rPr>
          <w:color w:val="000000" w:themeColor="text1"/>
          <w:sz w:val="24"/>
          <w:szCs w:val="24"/>
        </w:rPr>
      </w:pPr>
    </w:p>
    <w:p w14:paraId="024AE8D0" w14:textId="77777777" w:rsidR="00A062FC" w:rsidRPr="00D25040" w:rsidRDefault="00A062FC" w:rsidP="00A062FC">
      <w:pPr>
        <w:spacing w:line="480" w:lineRule="auto"/>
        <w:rPr>
          <w:color w:val="000000" w:themeColor="text1"/>
          <w:sz w:val="24"/>
          <w:szCs w:val="24"/>
        </w:rPr>
      </w:pPr>
    </w:p>
    <w:p w14:paraId="0ED23354" w14:textId="77777777" w:rsidR="00A062FC" w:rsidRPr="00D25040" w:rsidRDefault="00A062FC" w:rsidP="00A062FC">
      <w:pPr>
        <w:spacing w:line="480" w:lineRule="auto"/>
        <w:rPr>
          <w:color w:val="000000" w:themeColor="text1"/>
          <w:sz w:val="24"/>
          <w:szCs w:val="24"/>
        </w:rPr>
      </w:pPr>
    </w:p>
    <w:p w14:paraId="3107E719" w14:textId="77777777" w:rsidR="00DF3B99" w:rsidRPr="00D25040" w:rsidRDefault="00DF3B99" w:rsidP="00AD4081">
      <w:pPr>
        <w:pStyle w:val="APATitlePage"/>
        <w:jc w:val="left"/>
        <w:rPr>
          <w:color w:val="000000" w:themeColor="text1"/>
          <w:kern w:val="28"/>
          <w:szCs w:val="24"/>
        </w:rPr>
      </w:pPr>
    </w:p>
    <w:p w14:paraId="173982CD" w14:textId="77777777" w:rsidR="00DF3B99" w:rsidRPr="00D25040" w:rsidRDefault="00DF3B99">
      <w:pPr>
        <w:widowControl/>
        <w:overflowPunct/>
        <w:autoSpaceDE/>
        <w:autoSpaceDN/>
        <w:adjustRightInd/>
        <w:rPr>
          <w:color w:val="000000" w:themeColor="text1"/>
          <w:sz w:val="24"/>
          <w:szCs w:val="24"/>
        </w:rPr>
      </w:pPr>
      <w:r w:rsidRPr="00D25040">
        <w:rPr>
          <w:color w:val="000000" w:themeColor="text1"/>
          <w:szCs w:val="24"/>
        </w:rPr>
        <w:br w:type="page"/>
      </w:r>
    </w:p>
    <w:p w14:paraId="53687C2B" w14:textId="110899EA" w:rsidR="00A062FC" w:rsidRPr="00D25040" w:rsidRDefault="00A062FC" w:rsidP="00A9762F">
      <w:pPr>
        <w:pStyle w:val="APATitlePage"/>
        <w:rPr>
          <w:color w:val="000000" w:themeColor="text1"/>
          <w:kern w:val="28"/>
          <w:szCs w:val="24"/>
        </w:rPr>
      </w:pPr>
      <w:r w:rsidRPr="00D25040">
        <w:rPr>
          <w:color w:val="000000" w:themeColor="text1"/>
        </w:rPr>
        <w:lastRenderedPageBreak/>
        <w:t>TABLE OF CONTENTS</w:t>
      </w:r>
    </w:p>
    <w:p w14:paraId="6A7057D5" w14:textId="36E5DEA0" w:rsidR="00A062FC" w:rsidRPr="00D25040" w:rsidRDefault="00A062FC" w:rsidP="006C30B9">
      <w:pPr>
        <w:tabs>
          <w:tab w:val="center" w:pos="4680"/>
        </w:tabs>
        <w:spacing w:line="480" w:lineRule="auto"/>
        <w:rPr>
          <w:color w:val="000000" w:themeColor="text1"/>
          <w:sz w:val="24"/>
        </w:rPr>
      </w:pPr>
      <w:r w:rsidRPr="00D25040">
        <w:rPr>
          <w:color w:val="000000" w:themeColor="text1"/>
          <w:sz w:val="24"/>
        </w:rPr>
        <w:t>Chapter 1: Introduction</w:t>
      </w:r>
      <w:r w:rsidR="006C30B9" w:rsidRPr="00D25040">
        <w:rPr>
          <w:color w:val="000000" w:themeColor="text1"/>
          <w:sz w:val="24"/>
        </w:rPr>
        <w:tab/>
      </w:r>
    </w:p>
    <w:p w14:paraId="7B126C41" w14:textId="266399FE" w:rsidR="00DB470B" w:rsidRPr="00D25040" w:rsidRDefault="00DB470B" w:rsidP="005A0120">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webHidden/>
          <w:color w:val="000000" w:themeColor="text1"/>
          <w:kern w:val="0"/>
          <w:sz w:val="24"/>
          <w:szCs w:val="24"/>
        </w:rPr>
        <w:t>Introduction</w:t>
      </w:r>
      <w:r w:rsidRPr="00D25040">
        <w:rPr>
          <w:smallCaps/>
          <w:webHidden/>
          <w:color w:val="000000" w:themeColor="text1"/>
          <w:kern w:val="0"/>
          <w:sz w:val="24"/>
          <w:szCs w:val="24"/>
        </w:rPr>
        <w:tab/>
      </w:r>
      <w:r w:rsidR="00E519B3">
        <w:rPr>
          <w:smallCaps/>
          <w:webHidden/>
          <w:color w:val="000000" w:themeColor="text1"/>
          <w:kern w:val="0"/>
          <w:sz w:val="24"/>
          <w:szCs w:val="24"/>
        </w:rPr>
        <w:t>4</w:t>
      </w:r>
    </w:p>
    <w:p w14:paraId="05C75ABC" w14:textId="3B05E7C7" w:rsidR="00DB470B" w:rsidRPr="00D25040" w:rsidRDefault="00DB470B" w:rsidP="005A0120">
      <w:pPr>
        <w:widowControl/>
        <w:tabs>
          <w:tab w:val="right" w:leader="dot" w:pos="8630"/>
        </w:tabs>
        <w:overflowPunct/>
        <w:autoSpaceDE/>
        <w:autoSpaceDN/>
        <w:adjustRightInd/>
        <w:spacing w:line="480" w:lineRule="auto"/>
        <w:ind w:left="720"/>
        <w:rPr>
          <w:webHidden/>
          <w:color w:val="000000" w:themeColor="text1"/>
          <w:kern w:val="0"/>
          <w:sz w:val="24"/>
          <w:szCs w:val="24"/>
        </w:rPr>
      </w:pPr>
      <w:r w:rsidRPr="00D25040">
        <w:rPr>
          <w:webHidden/>
          <w:color w:val="000000" w:themeColor="text1"/>
          <w:kern w:val="0"/>
          <w:sz w:val="24"/>
          <w:szCs w:val="24"/>
        </w:rPr>
        <w:t>Significance</w:t>
      </w:r>
      <w:r w:rsidRPr="00D25040">
        <w:rPr>
          <w:webHidden/>
          <w:color w:val="000000" w:themeColor="text1"/>
          <w:kern w:val="0"/>
          <w:sz w:val="24"/>
          <w:szCs w:val="24"/>
        </w:rPr>
        <w:tab/>
      </w:r>
      <w:r w:rsidR="00E519B3">
        <w:rPr>
          <w:webHidden/>
          <w:color w:val="000000" w:themeColor="text1"/>
          <w:kern w:val="0"/>
          <w:sz w:val="24"/>
          <w:szCs w:val="24"/>
        </w:rPr>
        <w:t>6</w:t>
      </w:r>
    </w:p>
    <w:p w14:paraId="0CCFEDAE" w14:textId="49F51D50" w:rsidR="00DB470B" w:rsidRPr="00D25040" w:rsidRDefault="00DB470B" w:rsidP="005A0120">
      <w:pPr>
        <w:widowControl/>
        <w:tabs>
          <w:tab w:val="right" w:leader="dot" w:pos="8630"/>
        </w:tabs>
        <w:overflowPunct/>
        <w:autoSpaceDE/>
        <w:autoSpaceDN/>
        <w:adjustRightInd/>
        <w:spacing w:line="480" w:lineRule="auto"/>
        <w:ind w:left="720"/>
        <w:rPr>
          <w:color w:val="000000" w:themeColor="text1"/>
          <w:kern w:val="0"/>
          <w:sz w:val="24"/>
          <w:szCs w:val="24"/>
        </w:rPr>
      </w:pPr>
      <w:r w:rsidRPr="00D25040">
        <w:rPr>
          <w:webHidden/>
          <w:color w:val="000000" w:themeColor="text1"/>
          <w:kern w:val="0"/>
          <w:sz w:val="24"/>
          <w:szCs w:val="24"/>
        </w:rPr>
        <w:t>Purpose</w:t>
      </w:r>
      <w:r w:rsidRPr="00D25040">
        <w:rPr>
          <w:webHidden/>
          <w:color w:val="000000" w:themeColor="text1"/>
          <w:kern w:val="0"/>
          <w:sz w:val="24"/>
          <w:szCs w:val="24"/>
        </w:rPr>
        <w:tab/>
      </w:r>
      <w:r w:rsidR="0098579D">
        <w:rPr>
          <w:webHidden/>
          <w:color w:val="000000" w:themeColor="text1"/>
          <w:kern w:val="0"/>
          <w:sz w:val="24"/>
          <w:szCs w:val="24"/>
        </w:rPr>
        <w:t>7</w:t>
      </w:r>
    </w:p>
    <w:p w14:paraId="1FF1DC8F" w14:textId="1BCF7CAC" w:rsidR="00DB470B" w:rsidRPr="00D25040" w:rsidRDefault="00DB470B" w:rsidP="005A0120">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webHidden/>
          <w:color w:val="000000" w:themeColor="text1"/>
          <w:kern w:val="0"/>
          <w:sz w:val="24"/>
          <w:szCs w:val="24"/>
        </w:rPr>
        <w:t>Summary</w:t>
      </w:r>
      <w:r w:rsidRPr="00D25040">
        <w:rPr>
          <w:smallCaps/>
          <w:webHidden/>
          <w:color w:val="000000" w:themeColor="text1"/>
          <w:kern w:val="0"/>
          <w:sz w:val="24"/>
          <w:szCs w:val="24"/>
        </w:rPr>
        <w:tab/>
      </w:r>
      <w:r w:rsidR="0098579D">
        <w:rPr>
          <w:smallCaps/>
          <w:webHidden/>
          <w:color w:val="000000" w:themeColor="text1"/>
          <w:kern w:val="0"/>
          <w:sz w:val="24"/>
          <w:szCs w:val="24"/>
        </w:rPr>
        <w:t>9</w:t>
      </w:r>
    </w:p>
    <w:p w14:paraId="1657B790" w14:textId="77777777" w:rsidR="00A062FC" w:rsidRPr="00D25040" w:rsidRDefault="00A062FC" w:rsidP="005A0120">
      <w:pPr>
        <w:spacing w:line="480" w:lineRule="auto"/>
        <w:rPr>
          <w:color w:val="000000" w:themeColor="text1"/>
          <w:sz w:val="24"/>
        </w:rPr>
      </w:pPr>
      <w:r w:rsidRPr="00D25040">
        <w:rPr>
          <w:color w:val="000000" w:themeColor="text1"/>
          <w:sz w:val="24"/>
        </w:rPr>
        <w:t>Chapter 2: Review of the Literature</w:t>
      </w:r>
    </w:p>
    <w:p w14:paraId="1055F3F8" w14:textId="470DB617" w:rsidR="00DB470B" w:rsidRPr="00D25040" w:rsidRDefault="00DB470B" w:rsidP="005A0120">
      <w:pPr>
        <w:widowControl/>
        <w:tabs>
          <w:tab w:val="right" w:leader="dot" w:pos="8630"/>
        </w:tabs>
        <w:overflowPunct/>
        <w:autoSpaceDE/>
        <w:autoSpaceDN/>
        <w:adjustRightInd/>
        <w:spacing w:line="480" w:lineRule="auto"/>
        <w:ind w:left="720"/>
        <w:rPr>
          <w:smallCaps/>
          <w:webHidden/>
          <w:color w:val="000000" w:themeColor="text1"/>
          <w:kern w:val="0"/>
          <w:sz w:val="24"/>
          <w:szCs w:val="24"/>
        </w:rPr>
      </w:pPr>
      <w:r w:rsidRPr="00D25040">
        <w:rPr>
          <w:webHidden/>
          <w:color w:val="000000" w:themeColor="text1"/>
          <w:kern w:val="0"/>
          <w:sz w:val="24"/>
          <w:szCs w:val="24"/>
        </w:rPr>
        <w:t>Introduction</w:t>
      </w:r>
      <w:r w:rsidRPr="00D25040">
        <w:rPr>
          <w:smallCaps/>
          <w:webHidden/>
          <w:color w:val="000000" w:themeColor="text1"/>
          <w:kern w:val="0"/>
          <w:sz w:val="24"/>
          <w:szCs w:val="24"/>
        </w:rPr>
        <w:tab/>
      </w:r>
      <w:r w:rsidR="0098579D">
        <w:rPr>
          <w:smallCaps/>
          <w:webHidden/>
          <w:color w:val="000000" w:themeColor="text1"/>
          <w:kern w:val="0"/>
          <w:sz w:val="24"/>
          <w:szCs w:val="24"/>
        </w:rPr>
        <w:t>10</w:t>
      </w:r>
    </w:p>
    <w:p w14:paraId="3C7D003D" w14:textId="5B25C0F9" w:rsidR="005D7B10" w:rsidRPr="00D25040" w:rsidRDefault="005D7B10" w:rsidP="005D7B10">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webHidden/>
          <w:color w:val="000000" w:themeColor="text1"/>
          <w:kern w:val="0"/>
          <w:sz w:val="24"/>
          <w:szCs w:val="24"/>
        </w:rPr>
        <w:t>Three Strikes Against Only Discovery-Based Learning</w:t>
      </w:r>
      <w:r w:rsidRPr="00D25040">
        <w:rPr>
          <w:smallCaps/>
          <w:webHidden/>
          <w:color w:val="000000" w:themeColor="text1"/>
          <w:kern w:val="0"/>
          <w:sz w:val="24"/>
          <w:szCs w:val="24"/>
        </w:rPr>
        <w:tab/>
      </w:r>
      <w:r w:rsidR="0098579D">
        <w:rPr>
          <w:smallCaps/>
          <w:webHidden/>
          <w:color w:val="000000" w:themeColor="text1"/>
          <w:kern w:val="0"/>
          <w:sz w:val="24"/>
          <w:szCs w:val="24"/>
        </w:rPr>
        <w:t>10</w:t>
      </w:r>
    </w:p>
    <w:p w14:paraId="6520586F" w14:textId="201F349A" w:rsidR="00E33DDB" w:rsidRPr="00D25040" w:rsidRDefault="005D7B10" w:rsidP="005A0120">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Social Network Meet Inquiry-Based Learning</w:t>
      </w:r>
      <w:r w:rsidR="00DB470B" w:rsidRPr="00D25040">
        <w:rPr>
          <w:smallCaps/>
          <w:webHidden/>
          <w:color w:val="000000" w:themeColor="text1"/>
          <w:kern w:val="0"/>
          <w:sz w:val="24"/>
          <w:szCs w:val="24"/>
        </w:rPr>
        <w:tab/>
      </w:r>
      <w:r w:rsidR="0098579D">
        <w:rPr>
          <w:smallCaps/>
          <w:webHidden/>
          <w:color w:val="000000" w:themeColor="text1"/>
          <w:kern w:val="0"/>
          <w:sz w:val="24"/>
          <w:szCs w:val="24"/>
        </w:rPr>
        <w:t>11</w:t>
      </w:r>
    </w:p>
    <w:p w14:paraId="24ED97FB" w14:textId="2FAFE9E0" w:rsidR="00707ACA" w:rsidRPr="00D25040" w:rsidRDefault="00727535" w:rsidP="005A0120">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Teaching Methods in a Rural Setting</w:t>
      </w:r>
      <w:r w:rsidR="00DB470B" w:rsidRPr="00D25040">
        <w:rPr>
          <w:smallCaps/>
          <w:webHidden/>
          <w:color w:val="000000" w:themeColor="text1"/>
          <w:kern w:val="0"/>
          <w:sz w:val="24"/>
          <w:szCs w:val="24"/>
        </w:rPr>
        <w:tab/>
      </w:r>
      <w:r w:rsidR="0098579D">
        <w:rPr>
          <w:smallCaps/>
          <w:webHidden/>
          <w:color w:val="000000" w:themeColor="text1"/>
          <w:kern w:val="0"/>
          <w:sz w:val="24"/>
          <w:szCs w:val="24"/>
        </w:rPr>
        <w:t>13</w:t>
      </w:r>
    </w:p>
    <w:p w14:paraId="49EC431D" w14:textId="479AD3F2" w:rsidR="00A062FC" w:rsidRPr="00D25040" w:rsidRDefault="00BA7535" w:rsidP="005A0120">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All Hands on Deck</w:t>
      </w:r>
      <w:r w:rsidR="00DB470B" w:rsidRPr="00D25040">
        <w:rPr>
          <w:smallCaps/>
          <w:webHidden/>
          <w:color w:val="000000" w:themeColor="text1"/>
          <w:kern w:val="0"/>
          <w:sz w:val="24"/>
          <w:szCs w:val="24"/>
        </w:rPr>
        <w:tab/>
      </w:r>
      <w:r w:rsidR="0098579D">
        <w:rPr>
          <w:smallCaps/>
          <w:webHidden/>
          <w:color w:val="000000" w:themeColor="text1"/>
          <w:kern w:val="0"/>
          <w:sz w:val="24"/>
          <w:szCs w:val="24"/>
        </w:rPr>
        <w:t>14</w:t>
      </w:r>
    </w:p>
    <w:p w14:paraId="07D77B97" w14:textId="45C6E4D1" w:rsidR="00A062FC" w:rsidRPr="00D25040" w:rsidRDefault="00A062FC" w:rsidP="005A0120">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Sum</w:t>
      </w:r>
      <w:r w:rsidR="00E33DDB" w:rsidRPr="00D25040">
        <w:rPr>
          <w:color w:val="000000" w:themeColor="text1"/>
          <w:sz w:val="24"/>
        </w:rPr>
        <w:t>mary</w:t>
      </w:r>
      <w:r w:rsidR="00DB470B" w:rsidRPr="00D25040">
        <w:rPr>
          <w:smallCaps/>
          <w:webHidden/>
          <w:color w:val="000000" w:themeColor="text1"/>
          <w:kern w:val="0"/>
          <w:sz w:val="24"/>
          <w:szCs w:val="24"/>
        </w:rPr>
        <w:tab/>
      </w:r>
      <w:r w:rsidR="0098579D">
        <w:rPr>
          <w:smallCaps/>
          <w:webHidden/>
          <w:color w:val="000000" w:themeColor="text1"/>
          <w:kern w:val="0"/>
          <w:sz w:val="24"/>
          <w:szCs w:val="24"/>
        </w:rPr>
        <w:t>16</w:t>
      </w:r>
    </w:p>
    <w:p w14:paraId="26437D68" w14:textId="53601947" w:rsidR="00A15BBE" w:rsidRPr="00D25040" w:rsidRDefault="00A15BBE" w:rsidP="00A15BBE">
      <w:pPr>
        <w:spacing w:line="480" w:lineRule="auto"/>
        <w:rPr>
          <w:color w:val="000000" w:themeColor="text1"/>
          <w:sz w:val="24"/>
        </w:rPr>
      </w:pPr>
      <w:r w:rsidRPr="00D25040">
        <w:rPr>
          <w:color w:val="000000" w:themeColor="text1"/>
          <w:sz w:val="24"/>
        </w:rPr>
        <w:t>Chapter 3: Methodology</w:t>
      </w:r>
    </w:p>
    <w:p w14:paraId="062ED10E" w14:textId="1F31D1D4" w:rsidR="00A15BBE" w:rsidRPr="00D25040" w:rsidRDefault="00A15BBE" w:rsidP="00A15BBE">
      <w:pPr>
        <w:widowControl/>
        <w:tabs>
          <w:tab w:val="right" w:leader="dot" w:pos="8630"/>
        </w:tabs>
        <w:overflowPunct/>
        <w:autoSpaceDE/>
        <w:autoSpaceDN/>
        <w:adjustRightInd/>
        <w:spacing w:line="480" w:lineRule="auto"/>
        <w:ind w:left="720"/>
        <w:rPr>
          <w:smallCaps/>
          <w:webHidden/>
          <w:color w:val="000000" w:themeColor="text1"/>
          <w:kern w:val="0"/>
          <w:sz w:val="24"/>
          <w:szCs w:val="24"/>
        </w:rPr>
      </w:pPr>
      <w:r w:rsidRPr="00D25040">
        <w:rPr>
          <w:webHidden/>
          <w:color w:val="000000" w:themeColor="text1"/>
          <w:kern w:val="0"/>
          <w:sz w:val="24"/>
          <w:szCs w:val="24"/>
        </w:rPr>
        <w:t>Introduction</w:t>
      </w:r>
      <w:r w:rsidR="0037317B">
        <w:rPr>
          <w:smallCaps/>
          <w:webHidden/>
          <w:color w:val="000000" w:themeColor="text1"/>
          <w:kern w:val="0"/>
          <w:sz w:val="24"/>
          <w:szCs w:val="24"/>
        </w:rPr>
        <w:tab/>
      </w:r>
      <w:r w:rsidR="0098579D">
        <w:rPr>
          <w:smallCaps/>
          <w:webHidden/>
          <w:color w:val="000000" w:themeColor="text1"/>
          <w:kern w:val="0"/>
          <w:sz w:val="24"/>
          <w:szCs w:val="24"/>
        </w:rPr>
        <w:t>16</w:t>
      </w:r>
    </w:p>
    <w:p w14:paraId="4D16CA7F" w14:textId="678D5D83" w:rsidR="00A15BBE" w:rsidRPr="00D25040" w:rsidRDefault="00A15BBE" w:rsidP="00A15BBE">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webHidden/>
          <w:color w:val="000000" w:themeColor="text1"/>
          <w:kern w:val="0"/>
          <w:sz w:val="24"/>
          <w:szCs w:val="24"/>
        </w:rPr>
        <w:t>Research Questions and Statement of Hypothesis</w:t>
      </w:r>
      <w:r w:rsidRPr="00D25040">
        <w:rPr>
          <w:smallCaps/>
          <w:webHidden/>
          <w:color w:val="000000" w:themeColor="text1"/>
          <w:kern w:val="0"/>
          <w:sz w:val="24"/>
          <w:szCs w:val="24"/>
        </w:rPr>
        <w:tab/>
      </w:r>
      <w:r w:rsidR="0098579D">
        <w:rPr>
          <w:smallCaps/>
          <w:webHidden/>
          <w:color w:val="000000" w:themeColor="text1"/>
          <w:kern w:val="0"/>
          <w:sz w:val="24"/>
          <w:szCs w:val="24"/>
        </w:rPr>
        <w:t>17</w:t>
      </w:r>
    </w:p>
    <w:p w14:paraId="7E633DC1" w14:textId="696B1DB9" w:rsidR="00A15BBE" w:rsidRPr="00D25040" w:rsidRDefault="00A15BBE" w:rsidP="00A15BBE">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Participants and Setting</w:t>
      </w:r>
      <w:r w:rsidRPr="00D25040">
        <w:rPr>
          <w:smallCaps/>
          <w:webHidden/>
          <w:color w:val="000000" w:themeColor="text1"/>
          <w:kern w:val="0"/>
          <w:sz w:val="24"/>
          <w:szCs w:val="24"/>
        </w:rPr>
        <w:tab/>
      </w:r>
      <w:r w:rsidR="0098579D">
        <w:rPr>
          <w:smallCaps/>
          <w:webHidden/>
          <w:color w:val="000000" w:themeColor="text1"/>
          <w:kern w:val="0"/>
          <w:sz w:val="24"/>
          <w:szCs w:val="24"/>
        </w:rPr>
        <w:t>17</w:t>
      </w:r>
    </w:p>
    <w:p w14:paraId="40450A3A" w14:textId="00311B9C" w:rsidR="00A15BBE" w:rsidRPr="00D25040" w:rsidRDefault="00A15BBE" w:rsidP="00A15BBE">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Rationale</w:t>
      </w:r>
      <w:r w:rsidRPr="00D25040">
        <w:rPr>
          <w:smallCaps/>
          <w:webHidden/>
          <w:color w:val="000000" w:themeColor="text1"/>
          <w:kern w:val="0"/>
          <w:sz w:val="24"/>
          <w:szCs w:val="24"/>
        </w:rPr>
        <w:tab/>
      </w:r>
      <w:r w:rsidR="0098579D">
        <w:rPr>
          <w:smallCaps/>
          <w:webHidden/>
          <w:color w:val="000000" w:themeColor="text1"/>
          <w:kern w:val="0"/>
          <w:sz w:val="24"/>
          <w:szCs w:val="24"/>
        </w:rPr>
        <w:t>17</w:t>
      </w:r>
    </w:p>
    <w:p w14:paraId="088BBE87" w14:textId="369FDAC5" w:rsidR="00A15BBE" w:rsidRPr="00D25040" w:rsidRDefault="00A15BBE" w:rsidP="00A15BBE">
      <w:pPr>
        <w:widowControl/>
        <w:tabs>
          <w:tab w:val="right" w:leader="dot" w:pos="8630"/>
        </w:tabs>
        <w:overflowPunct/>
        <w:autoSpaceDE/>
        <w:autoSpaceDN/>
        <w:adjustRightInd/>
        <w:spacing w:line="480" w:lineRule="auto"/>
        <w:ind w:left="720"/>
        <w:rPr>
          <w:smallCaps/>
          <w:webHidden/>
          <w:color w:val="000000" w:themeColor="text1"/>
          <w:kern w:val="0"/>
          <w:sz w:val="24"/>
          <w:szCs w:val="24"/>
        </w:rPr>
      </w:pPr>
      <w:r w:rsidRPr="00D25040">
        <w:rPr>
          <w:color w:val="000000" w:themeColor="text1"/>
          <w:sz w:val="24"/>
        </w:rPr>
        <w:t>Design and Procedure</w:t>
      </w:r>
      <w:r w:rsidR="0098579D">
        <w:rPr>
          <w:smallCaps/>
          <w:webHidden/>
          <w:color w:val="000000" w:themeColor="text1"/>
          <w:kern w:val="0"/>
          <w:sz w:val="24"/>
          <w:szCs w:val="24"/>
        </w:rPr>
        <w:tab/>
        <w:t>18</w:t>
      </w:r>
    </w:p>
    <w:p w14:paraId="52B34453" w14:textId="510F1474" w:rsidR="00A15BBE" w:rsidRPr="00D25040" w:rsidRDefault="00A15BBE" w:rsidP="00A15BBE">
      <w:pPr>
        <w:widowControl/>
        <w:tabs>
          <w:tab w:val="right" w:leader="dot" w:pos="8630"/>
        </w:tabs>
        <w:overflowPunct/>
        <w:autoSpaceDE/>
        <w:autoSpaceDN/>
        <w:adjustRightInd/>
        <w:spacing w:line="480" w:lineRule="auto"/>
        <w:ind w:left="720"/>
        <w:rPr>
          <w:smallCaps/>
          <w:webHidden/>
          <w:color w:val="000000" w:themeColor="text1"/>
          <w:kern w:val="0"/>
          <w:sz w:val="24"/>
          <w:szCs w:val="24"/>
        </w:rPr>
      </w:pPr>
      <w:r w:rsidRPr="00D25040">
        <w:rPr>
          <w:color w:val="000000" w:themeColor="text1"/>
          <w:sz w:val="24"/>
        </w:rPr>
        <w:t>Instruments</w:t>
      </w:r>
      <w:r w:rsidR="0098579D">
        <w:rPr>
          <w:smallCaps/>
          <w:webHidden/>
          <w:color w:val="000000" w:themeColor="text1"/>
          <w:kern w:val="0"/>
          <w:sz w:val="24"/>
          <w:szCs w:val="24"/>
        </w:rPr>
        <w:tab/>
        <w:t>19</w:t>
      </w:r>
    </w:p>
    <w:p w14:paraId="739A78FB" w14:textId="5D63DC9A" w:rsidR="00A15BBE" w:rsidRPr="00D25040" w:rsidRDefault="00A15BBE" w:rsidP="00A15BBE">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Institutional Review Board</w:t>
      </w:r>
      <w:r w:rsidRPr="00D25040">
        <w:rPr>
          <w:smallCaps/>
          <w:webHidden/>
          <w:color w:val="000000" w:themeColor="text1"/>
          <w:kern w:val="0"/>
          <w:sz w:val="24"/>
          <w:szCs w:val="24"/>
        </w:rPr>
        <w:tab/>
      </w:r>
      <w:r w:rsidR="0098579D">
        <w:rPr>
          <w:smallCaps/>
          <w:webHidden/>
          <w:color w:val="000000" w:themeColor="text1"/>
          <w:kern w:val="0"/>
          <w:sz w:val="24"/>
          <w:szCs w:val="24"/>
        </w:rPr>
        <w:t>19</w:t>
      </w:r>
    </w:p>
    <w:p w14:paraId="4636369A" w14:textId="085332F1" w:rsidR="00A15BBE" w:rsidRPr="00D25040" w:rsidRDefault="00A15BBE" w:rsidP="00A15BBE">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Role of the Researcher</w:t>
      </w:r>
      <w:r w:rsidRPr="00D25040">
        <w:rPr>
          <w:smallCaps/>
          <w:webHidden/>
          <w:color w:val="000000" w:themeColor="text1"/>
          <w:kern w:val="0"/>
          <w:sz w:val="24"/>
          <w:szCs w:val="24"/>
        </w:rPr>
        <w:tab/>
      </w:r>
      <w:r w:rsidR="0098579D">
        <w:rPr>
          <w:smallCaps/>
          <w:webHidden/>
          <w:color w:val="000000" w:themeColor="text1"/>
          <w:kern w:val="0"/>
          <w:sz w:val="24"/>
          <w:szCs w:val="24"/>
        </w:rPr>
        <w:t>19</w:t>
      </w:r>
    </w:p>
    <w:p w14:paraId="28D99706" w14:textId="37684C55" w:rsidR="00A15BBE" w:rsidRPr="00D25040" w:rsidRDefault="00A15BBE" w:rsidP="00A15BBE">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Summary</w:t>
      </w:r>
      <w:r w:rsidRPr="00D25040">
        <w:rPr>
          <w:smallCaps/>
          <w:webHidden/>
          <w:color w:val="000000" w:themeColor="text1"/>
          <w:kern w:val="0"/>
          <w:sz w:val="24"/>
          <w:szCs w:val="24"/>
        </w:rPr>
        <w:tab/>
      </w:r>
      <w:r w:rsidR="00AD625A">
        <w:rPr>
          <w:smallCaps/>
          <w:webHidden/>
          <w:color w:val="000000" w:themeColor="text1"/>
          <w:kern w:val="0"/>
          <w:sz w:val="24"/>
          <w:szCs w:val="24"/>
        </w:rPr>
        <w:t>20</w:t>
      </w:r>
    </w:p>
    <w:p w14:paraId="4D073949" w14:textId="77777777" w:rsidR="008A3E63" w:rsidRPr="00D25040" w:rsidRDefault="008A3E63" w:rsidP="008A3E63">
      <w:pPr>
        <w:spacing w:line="480" w:lineRule="auto"/>
        <w:rPr>
          <w:color w:val="000000" w:themeColor="text1"/>
          <w:sz w:val="24"/>
        </w:rPr>
      </w:pPr>
      <w:r w:rsidRPr="00D25040">
        <w:rPr>
          <w:color w:val="000000" w:themeColor="text1"/>
          <w:sz w:val="24"/>
        </w:rPr>
        <w:t>Chapter 4: Results</w:t>
      </w:r>
    </w:p>
    <w:p w14:paraId="292D8548" w14:textId="587FB91D" w:rsidR="008A3E63" w:rsidRPr="00D25040" w:rsidRDefault="008A3E63" w:rsidP="008A3E63">
      <w:pPr>
        <w:widowControl/>
        <w:tabs>
          <w:tab w:val="right" w:leader="dot" w:pos="8630"/>
        </w:tabs>
        <w:overflowPunct/>
        <w:autoSpaceDE/>
        <w:autoSpaceDN/>
        <w:adjustRightInd/>
        <w:spacing w:line="480" w:lineRule="auto"/>
        <w:ind w:left="720"/>
        <w:rPr>
          <w:color w:val="000000" w:themeColor="text1"/>
          <w:kern w:val="0"/>
          <w:sz w:val="24"/>
          <w:szCs w:val="24"/>
        </w:rPr>
      </w:pPr>
      <w:r w:rsidRPr="00D25040">
        <w:rPr>
          <w:color w:val="000000" w:themeColor="text1"/>
          <w:sz w:val="24"/>
        </w:rPr>
        <w:t>Introduction</w:t>
      </w:r>
      <w:r w:rsidRPr="00D25040">
        <w:rPr>
          <w:webHidden/>
          <w:color w:val="000000" w:themeColor="text1"/>
          <w:kern w:val="0"/>
          <w:sz w:val="24"/>
          <w:szCs w:val="24"/>
        </w:rPr>
        <w:tab/>
      </w:r>
      <w:r w:rsidR="00AD625A">
        <w:rPr>
          <w:smallCaps/>
          <w:webHidden/>
          <w:color w:val="000000" w:themeColor="text1"/>
          <w:kern w:val="0"/>
          <w:sz w:val="24"/>
          <w:szCs w:val="24"/>
        </w:rPr>
        <w:t>20</w:t>
      </w:r>
    </w:p>
    <w:p w14:paraId="525ED3E0" w14:textId="4BE02C30" w:rsidR="008A3E63" w:rsidRPr="00D25040" w:rsidRDefault="008A3E63" w:rsidP="008A3E63">
      <w:pPr>
        <w:widowControl/>
        <w:tabs>
          <w:tab w:val="right" w:leader="dot" w:pos="8630"/>
        </w:tabs>
        <w:overflowPunct/>
        <w:autoSpaceDE/>
        <w:autoSpaceDN/>
        <w:adjustRightInd/>
        <w:spacing w:line="480" w:lineRule="auto"/>
        <w:ind w:left="720"/>
        <w:rPr>
          <w:color w:val="000000" w:themeColor="text1"/>
          <w:kern w:val="0"/>
          <w:sz w:val="24"/>
          <w:szCs w:val="24"/>
        </w:rPr>
      </w:pPr>
      <w:r w:rsidRPr="00D25040">
        <w:rPr>
          <w:color w:val="000000" w:themeColor="text1"/>
          <w:sz w:val="24"/>
        </w:rPr>
        <w:t xml:space="preserve"> General Data Analysis</w:t>
      </w:r>
      <w:r w:rsidRPr="00D25040">
        <w:rPr>
          <w:webHidden/>
          <w:color w:val="000000" w:themeColor="text1"/>
          <w:kern w:val="0"/>
          <w:sz w:val="24"/>
          <w:szCs w:val="24"/>
        </w:rPr>
        <w:tab/>
      </w:r>
      <w:r w:rsidR="00AD625A">
        <w:rPr>
          <w:smallCaps/>
          <w:webHidden/>
          <w:color w:val="000000" w:themeColor="text1"/>
          <w:kern w:val="0"/>
          <w:sz w:val="24"/>
          <w:szCs w:val="24"/>
        </w:rPr>
        <w:t>21</w:t>
      </w:r>
    </w:p>
    <w:p w14:paraId="1AF32579" w14:textId="2B8BFE55" w:rsidR="008A3E63" w:rsidRPr="00D25040" w:rsidRDefault="00AD625A" w:rsidP="008A3E63">
      <w:pPr>
        <w:widowControl/>
        <w:tabs>
          <w:tab w:val="right" w:leader="dot" w:pos="8630"/>
        </w:tabs>
        <w:overflowPunct/>
        <w:autoSpaceDE/>
        <w:autoSpaceDN/>
        <w:adjustRightInd/>
        <w:spacing w:line="480" w:lineRule="auto"/>
        <w:ind w:left="720"/>
        <w:rPr>
          <w:color w:val="000000" w:themeColor="text1"/>
          <w:sz w:val="24"/>
        </w:rPr>
      </w:pPr>
      <w:r>
        <w:rPr>
          <w:color w:val="000000" w:themeColor="text1"/>
          <w:sz w:val="24"/>
        </w:rPr>
        <w:t>Quantitative Data Analysi</w:t>
      </w:r>
      <w:r w:rsidR="008A3E63" w:rsidRPr="00D25040">
        <w:rPr>
          <w:color w:val="000000" w:themeColor="text1"/>
          <w:sz w:val="24"/>
        </w:rPr>
        <w:t>s</w:t>
      </w:r>
      <w:r w:rsidR="008A3E63" w:rsidRPr="00D25040">
        <w:rPr>
          <w:webHidden/>
          <w:color w:val="000000" w:themeColor="text1"/>
          <w:kern w:val="0"/>
          <w:sz w:val="24"/>
          <w:szCs w:val="24"/>
        </w:rPr>
        <w:tab/>
      </w:r>
      <w:r>
        <w:rPr>
          <w:smallCaps/>
          <w:webHidden/>
          <w:color w:val="000000" w:themeColor="text1"/>
          <w:kern w:val="0"/>
          <w:sz w:val="24"/>
          <w:szCs w:val="24"/>
        </w:rPr>
        <w:t>21</w:t>
      </w:r>
    </w:p>
    <w:p w14:paraId="7CF1586A" w14:textId="372E0B6B" w:rsidR="008A3E63" w:rsidRPr="00D25040" w:rsidRDefault="008A3E63" w:rsidP="008A3E63">
      <w:pPr>
        <w:widowControl/>
        <w:tabs>
          <w:tab w:val="right" w:leader="dot" w:pos="8630"/>
        </w:tabs>
        <w:overflowPunct/>
        <w:autoSpaceDE/>
        <w:autoSpaceDN/>
        <w:adjustRightInd/>
        <w:spacing w:line="480" w:lineRule="auto"/>
        <w:ind w:left="720"/>
        <w:rPr>
          <w:color w:val="000000" w:themeColor="text1"/>
          <w:sz w:val="24"/>
        </w:rPr>
      </w:pPr>
      <w:r w:rsidRPr="00D25040">
        <w:rPr>
          <w:color w:val="000000" w:themeColor="text1"/>
          <w:sz w:val="24"/>
        </w:rPr>
        <w:t xml:space="preserve">Summary of Results </w:t>
      </w:r>
      <w:r w:rsidRPr="00D25040">
        <w:rPr>
          <w:webHidden/>
          <w:color w:val="000000" w:themeColor="text1"/>
          <w:kern w:val="0"/>
          <w:sz w:val="24"/>
          <w:szCs w:val="24"/>
        </w:rPr>
        <w:tab/>
      </w:r>
      <w:r w:rsidR="00AD625A">
        <w:rPr>
          <w:smallCaps/>
          <w:webHidden/>
          <w:color w:val="000000" w:themeColor="text1"/>
          <w:kern w:val="0"/>
          <w:sz w:val="24"/>
          <w:szCs w:val="24"/>
        </w:rPr>
        <w:t>2</w:t>
      </w:r>
      <w:r w:rsidR="00736ABC">
        <w:rPr>
          <w:smallCaps/>
          <w:webHidden/>
          <w:color w:val="000000" w:themeColor="text1"/>
          <w:kern w:val="0"/>
          <w:sz w:val="24"/>
          <w:szCs w:val="24"/>
        </w:rPr>
        <w:t>4</w:t>
      </w:r>
    </w:p>
    <w:p w14:paraId="51D9C2F5" w14:textId="77777777" w:rsidR="008A3E63" w:rsidRPr="00D25040" w:rsidRDefault="008A3E63" w:rsidP="008A3E63">
      <w:pPr>
        <w:spacing w:line="480" w:lineRule="auto"/>
        <w:rPr>
          <w:color w:val="000000" w:themeColor="text1"/>
          <w:sz w:val="24"/>
        </w:rPr>
      </w:pPr>
      <w:r w:rsidRPr="00D25040">
        <w:rPr>
          <w:color w:val="000000" w:themeColor="text1"/>
          <w:sz w:val="24"/>
        </w:rPr>
        <w:t>Chapter 5: Conclusions and Discussion of Findings</w:t>
      </w:r>
    </w:p>
    <w:p w14:paraId="2A1912F0" w14:textId="73789B04" w:rsidR="008A3E63" w:rsidRPr="00D25040" w:rsidRDefault="008A3E63" w:rsidP="008A3E63">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webHidden/>
          <w:color w:val="000000" w:themeColor="text1"/>
          <w:kern w:val="0"/>
          <w:sz w:val="24"/>
          <w:szCs w:val="24"/>
        </w:rPr>
        <w:t>Introduction</w:t>
      </w:r>
      <w:r w:rsidRPr="00D25040">
        <w:rPr>
          <w:smallCaps/>
          <w:webHidden/>
          <w:color w:val="000000" w:themeColor="text1"/>
          <w:kern w:val="0"/>
          <w:sz w:val="24"/>
          <w:szCs w:val="24"/>
        </w:rPr>
        <w:tab/>
      </w:r>
      <w:r w:rsidR="00AD625A">
        <w:rPr>
          <w:smallCaps/>
          <w:webHidden/>
          <w:color w:val="000000" w:themeColor="text1"/>
          <w:kern w:val="0"/>
          <w:sz w:val="24"/>
          <w:szCs w:val="24"/>
        </w:rPr>
        <w:t>24</w:t>
      </w:r>
    </w:p>
    <w:p w14:paraId="2D5D07B8" w14:textId="42418E44" w:rsidR="008A3E63" w:rsidRPr="00D25040" w:rsidRDefault="008A3E63" w:rsidP="008A3E63">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Limitations and Delimitations</w:t>
      </w:r>
      <w:r w:rsidRPr="00D25040">
        <w:rPr>
          <w:smallCaps/>
          <w:webHidden/>
          <w:color w:val="000000" w:themeColor="text1"/>
          <w:kern w:val="0"/>
          <w:sz w:val="24"/>
          <w:szCs w:val="24"/>
        </w:rPr>
        <w:tab/>
      </w:r>
      <w:r w:rsidR="00AD625A">
        <w:rPr>
          <w:smallCaps/>
          <w:webHidden/>
          <w:color w:val="000000" w:themeColor="text1"/>
          <w:kern w:val="0"/>
          <w:sz w:val="24"/>
          <w:szCs w:val="24"/>
        </w:rPr>
        <w:t>2</w:t>
      </w:r>
      <w:r w:rsidR="00736ABC">
        <w:rPr>
          <w:smallCaps/>
          <w:webHidden/>
          <w:color w:val="000000" w:themeColor="text1"/>
          <w:kern w:val="0"/>
          <w:sz w:val="24"/>
          <w:szCs w:val="24"/>
        </w:rPr>
        <w:t>6</w:t>
      </w:r>
    </w:p>
    <w:p w14:paraId="64FDECE4" w14:textId="0B2F7CF0" w:rsidR="008A3E63" w:rsidRPr="00D25040" w:rsidRDefault="008A3E63" w:rsidP="008A3E63">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Implications for the Field of Education</w:t>
      </w:r>
      <w:r w:rsidRPr="00D25040">
        <w:rPr>
          <w:smallCaps/>
          <w:webHidden/>
          <w:color w:val="000000" w:themeColor="text1"/>
          <w:kern w:val="0"/>
          <w:sz w:val="24"/>
          <w:szCs w:val="24"/>
        </w:rPr>
        <w:tab/>
      </w:r>
      <w:r w:rsidR="00AD625A">
        <w:rPr>
          <w:smallCaps/>
          <w:webHidden/>
          <w:color w:val="000000" w:themeColor="text1"/>
          <w:kern w:val="0"/>
          <w:sz w:val="24"/>
          <w:szCs w:val="24"/>
        </w:rPr>
        <w:t>27</w:t>
      </w:r>
    </w:p>
    <w:p w14:paraId="7C75D8DE" w14:textId="053792B9" w:rsidR="008A3E63" w:rsidRPr="00D25040" w:rsidRDefault="008A3E63" w:rsidP="008A3E63">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Future Research</w:t>
      </w:r>
      <w:r w:rsidRPr="00D25040">
        <w:rPr>
          <w:smallCaps/>
          <w:webHidden/>
          <w:color w:val="000000" w:themeColor="text1"/>
          <w:kern w:val="0"/>
          <w:sz w:val="24"/>
          <w:szCs w:val="24"/>
        </w:rPr>
        <w:tab/>
      </w:r>
      <w:r w:rsidR="00AD625A">
        <w:rPr>
          <w:smallCaps/>
          <w:webHidden/>
          <w:color w:val="000000" w:themeColor="text1"/>
          <w:kern w:val="0"/>
          <w:sz w:val="24"/>
          <w:szCs w:val="24"/>
        </w:rPr>
        <w:t>29</w:t>
      </w:r>
    </w:p>
    <w:p w14:paraId="500DA805" w14:textId="2CEEBC09" w:rsidR="008A3E63" w:rsidRPr="00D25040" w:rsidRDefault="008A3E63" w:rsidP="008A3E63">
      <w:pPr>
        <w:widowControl/>
        <w:tabs>
          <w:tab w:val="right" w:leader="dot" w:pos="8630"/>
        </w:tabs>
        <w:overflowPunct/>
        <w:autoSpaceDE/>
        <w:autoSpaceDN/>
        <w:adjustRightInd/>
        <w:spacing w:line="480" w:lineRule="auto"/>
        <w:ind w:left="720"/>
        <w:rPr>
          <w:smallCaps/>
          <w:color w:val="000000" w:themeColor="text1"/>
          <w:kern w:val="0"/>
          <w:sz w:val="24"/>
          <w:szCs w:val="24"/>
        </w:rPr>
      </w:pPr>
      <w:r w:rsidRPr="00D25040">
        <w:rPr>
          <w:color w:val="000000" w:themeColor="text1"/>
          <w:sz w:val="24"/>
        </w:rPr>
        <w:t>Summary</w:t>
      </w:r>
      <w:r w:rsidRPr="00D25040">
        <w:rPr>
          <w:smallCaps/>
          <w:webHidden/>
          <w:color w:val="000000" w:themeColor="text1"/>
          <w:kern w:val="0"/>
          <w:sz w:val="24"/>
          <w:szCs w:val="24"/>
        </w:rPr>
        <w:tab/>
      </w:r>
      <w:r w:rsidR="00AD625A">
        <w:rPr>
          <w:smallCaps/>
          <w:webHidden/>
          <w:color w:val="000000" w:themeColor="text1"/>
          <w:kern w:val="0"/>
          <w:sz w:val="24"/>
          <w:szCs w:val="24"/>
        </w:rPr>
        <w:t>30</w:t>
      </w:r>
    </w:p>
    <w:p w14:paraId="36F3ACE5" w14:textId="3C2AFC15" w:rsidR="008A3E63" w:rsidRPr="00D25040" w:rsidRDefault="008A3E63" w:rsidP="008A3E63">
      <w:pPr>
        <w:widowControl/>
        <w:tabs>
          <w:tab w:val="right" w:leader="dot" w:pos="8630"/>
        </w:tabs>
        <w:overflowPunct/>
        <w:autoSpaceDE/>
        <w:autoSpaceDN/>
        <w:adjustRightInd/>
        <w:spacing w:line="480" w:lineRule="auto"/>
        <w:rPr>
          <w:smallCaps/>
          <w:color w:val="000000" w:themeColor="text1"/>
          <w:kern w:val="0"/>
          <w:sz w:val="24"/>
          <w:szCs w:val="24"/>
        </w:rPr>
      </w:pPr>
      <w:r w:rsidRPr="00D25040">
        <w:rPr>
          <w:color w:val="000000" w:themeColor="text1"/>
          <w:sz w:val="24"/>
        </w:rPr>
        <w:t>References</w:t>
      </w:r>
      <w:r w:rsidRPr="00D25040">
        <w:rPr>
          <w:smallCaps/>
          <w:webHidden/>
          <w:color w:val="000000" w:themeColor="text1"/>
          <w:kern w:val="0"/>
          <w:sz w:val="24"/>
          <w:szCs w:val="24"/>
        </w:rPr>
        <w:tab/>
      </w:r>
      <w:r w:rsidR="00AD625A">
        <w:rPr>
          <w:smallCaps/>
          <w:webHidden/>
          <w:color w:val="000000" w:themeColor="text1"/>
          <w:kern w:val="0"/>
          <w:sz w:val="24"/>
          <w:szCs w:val="24"/>
        </w:rPr>
        <w:t>3</w:t>
      </w:r>
      <w:r w:rsidR="00736ABC">
        <w:rPr>
          <w:smallCaps/>
          <w:webHidden/>
          <w:color w:val="000000" w:themeColor="text1"/>
          <w:kern w:val="0"/>
          <w:sz w:val="24"/>
          <w:szCs w:val="24"/>
        </w:rPr>
        <w:t>2</w:t>
      </w:r>
    </w:p>
    <w:p w14:paraId="3D189860" w14:textId="77777777" w:rsidR="00A15BBE" w:rsidRPr="00D25040" w:rsidRDefault="00A15BBE" w:rsidP="00A15BBE">
      <w:pPr>
        <w:widowControl/>
        <w:tabs>
          <w:tab w:val="right" w:leader="dot" w:pos="8630"/>
        </w:tabs>
        <w:overflowPunct/>
        <w:autoSpaceDE/>
        <w:autoSpaceDN/>
        <w:adjustRightInd/>
        <w:spacing w:line="480" w:lineRule="auto"/>
        <w:ind w:left="720"/>
        <w:rPr>
          <w:smallCaps/>
          <w:color w:val="000000" w:themeColor="text1"/>
          <w:kern w:val="0"/>
          <w:sz w:val="24"/>
          <w:szCs w:val="24"/>
        </w:rPr>
      </w:pPr>
    </w:p>
    <w:p w14:paraId="4C256C29" w14:textId="77777777" w:rsidR="00A15BBE" w:rsidRPr="00D25040" w:rsidRDefault="00A15BBE" w:rsidP="00A15BBE">
      <w:pPr>
        <w:widowControl/>
        <w:tabs>
          <w:tab w:val="right" w:leader="dot" w:pos="8630"/>
        </w:tabs>
        <w:overflowPunct/>
        <w:autoSpaceDE/>
        <w:autoSpaceDN/>
        <w:adjustRightInd/>
        <w:spacing w:line="480" w:lineRule="auto"/>
        <w:ind w:left="720"/>
        <w:rPr>
          <w:smallCaps/>
          <w:color w:val="000000" w:themeColor="text1"/>
          <w:kern w:val="0"/>
          <w:sz w:val="24"/>
          <w:szCs w:val="24"/>
        </w:rPr>
      </w:pPr>
    </w:p>
    <w:p w14:paraId="09759AC3" w14:textId="55EB378C" w:rsidR="000B4532" w:rsidRPr="00D25040" w:rsidRDefault="000B4532" w:rsidP="005A0120">
      <w:pPr>
        <w:widowControl/>
        <w:tabs>
          <w:tab w:val="right" w:leader="dot" w:pos="8630"/>
        </w:tabs>
        <w:overflowPunct/>
        <w:autoSpaceDE/>
        <w:autoSpaceDN/>
        <w:adjustRightInd/>
        <w:spacing w:line="480" w:lineRule="auto"/>
        <w:rPr>
          <w:color w:val="000000" w:themeColor="text1"/>
          <w:sz w:val="24"/>
        </w:rPr>
      </w:pPr>
    </w:p>
    <w:p w14:paraId="7F1BB541" w14:textId="06698210" w:rsidR="00B74E19" w:rsidRPr="00D25040" w:rsidRDefault="00B74E19" w:rsidP="005A0120">
      <w:pPr>
        <w:widowControl/>
        <w:tabs>
          <w:tab w:val="right" w:leader="dot" w:pos="8630"/>
        </w:tabs>
        <w:overflowPunct/>
        <w:autoSpaceDE/>
        <w:autoSpaceDN/>
        <w:adjustRightInd/>
        <w:spacing w:line="480" w:lineRule="auto"/>
        <w:rPr>
          <w:smallCaps/>
          <w:color w:val="000000" w:themeColor="text1"/>
          <w:kern w:val="0"/>
          <w:sz w:val="24"/>
          <w:szCs w:val="24"/>
        </w:rPr>
      </w:pPr>
      <w:r w:rsidRPr="00D25040">
        <w:rPr>
          <w:smallCaps/>
          <w:color w:val="000000" w:themeColor="text1"/>
          <w:kern w:val="0"/>
          <w:sz w:val="24"/>
          <w:szCs w:val="24"/>
        </w:rPr>
        <w:br w:type="page"/>
      </w:r>
    </w:p>
    <w:p w14:paraId="4BE35BED" w14:textId="57187026" w:rsidR="00BE5E95" w:rsidRPr="00D25040" w:rsidRDefault="002F668F" w:rsidP="004C6940">
      <w:pPr>
        <w:spacing w:line="480" w:lineRule="auto"/>
        <w:ind w:firstLine="720"/>
        <w:rPr>
          <w:color w:val="000000" w:themeColor="text1"/>
          <w:sz w:val="24"/>
          <w:szCs w:val="24"/>
        </w:rPr>
      </w:pPr>
      <w:r w:rsidRPr="00D25040">
        <w:rPr>
          <w:color w:val="000000" w:themeColor="text1"/>
          <w:sz w:val="24"/>
          <w:szCs w:val="24"/>
        </w:rPr>
        <w:t>Teaching professionals in the area of mathematics ha</w:t>
      </w:r>
      <w:r w:rsidR="00B44D29" w:rsidRPr="00D25040">
        <w:rPr>
          <w:color w:val="000000" w:themeColor="text1"/>
          <w:sz w:val="24"/>
          <w:szCs w:val="24"/>
        </w:rPr>
        <w:t>ve been engaged in colloquial discussion</w:t>
      </w:r>
      <w:r w:rsidRPr="00D25040">
        <w:rPr>
          <w:color w:val="000000" w:themeColor="text1"/>
          <w:sz w:val="24"/>
          <w:szCs w:val="24"/>
        </w:rPr>
        <w:t xml:space="preserve"> </w:t>
      </w:r>
      <w:r w:rsidR="007B41EE" w:rsidRPr="00D25040">
        <w:rPr>
          <w:color w:val="000000" w:themeColor="text1"/>
          <w:sz w:val="24"/>
          <w:szCs w:val="24"/>
        </w:rPr>
        <w:t>for decades regarding the most effective way to teach studen</w:t>
      </w:r>
      <w:r w:rsidR="00E070AD" w:rsidRPr="00D25040">
        <w:rPr>
          <w:color w:val="000000" w:themeColor="text1"/>
          <w:sz w:val="24"/>
          <w:szCs w:val="24"/>
        </w:rPr>
        <w:t>ts. Teache</w:t>
      </w:r>
      <w:r w:rsidR="00AE49FE" w:rsidRPr="00D25040">
        <w:rPr>
          <w:color w:val="000000" w:themeColor="text1"/>
          <w:sz w:val="24"/>
          <w:szCs w:val="24"/>
        </w:rPr>
        <w:t>rs, who use a traditional</w:t>
      </w:r>
      <w:r w:rsidR="00E070AD" w:rsidRPr="00D25040">
        <w:rPr>
          <w:color w:val="000000" w:themeColor="text1"/>
          <w:sz w:val="24"/>
          <w:szCs w:val="24"/>
        </w:rPr>
        <w:t xml:space="preserve"> model, </w:t>
      </w:r>
      <w:r w:rsidR="00364930" w:rsidRPr="00D25040">
        <w:rPr>
          <w:color w:val="000000" w:themeColor="text1"/>
          <w:sz w:val="24"/>
          <w:szCs w:val="24"/>
        </w:rPr>
        <w:t>practice</w:t>
      </w:r>
      <w:r w:rsidR="00AE49FE" w:rsidRPr="00D25040">
        <w:rPr>
          <w:color w:val="000000" w:themeColor="text1"/>
          <w:sz w:val="24"/>
          <w:szCs w:val="24"/>
        </w:rPr>
        <w:t xml:space="preserve"> a top-down</w:t>
      </w:r>
      <w:r w:rsidR="00486D50" w:rsidRPr="00D25040">
        <w:rPr>
          <w:color w:val="000000" w:themeColor="text1"/>
          <w:sz w:val="24"/>
          <w:szCs w:val="24"/>
        </w:rPr>
        <w:t>, deductive</w:t>
      </w:r>
      <w:r w:rsidR="00AE49FE" w:rsidRPr="00D25040">
        <w:rPr>
          <w:color w:val="000000" w:themeColor="text1"/>
          <w:sz w:val="24"/>
          <w:szCs w:val="24"/>
        </w:rPr>
        <w:t xml:space="preserve"> approach. Traditional</w:t>
      </w:r>
      <w:r w:rsidR="00E070AD" w:rsidRPr="00D25040">
        <w:rPr>
          <w:color w:val="000000" w:themeColor="text1"/>
          <w:sz w:val="24"/>
          <w:szCs w:val="24"/>
        </w:rPr>
        <w:t xml:space="preserve"> instruction begins with the</w:t>
      </w:r>
      <w:r w:rsidR="007B41EE" w:rsidRPr="00D25040">
        <w:rPr>
          <w:color w:val="000000" w:themeColor="text1"/>
          <w:sz w:val="24"/>
          <w:szCs w:val="24"/>
        </w:rPr>
        <w:t xml:space="preserve"> teacher </w:t>
      </w:r>
      <w:r w:rsidR="00E070AD" w:rsidRPr="00D25040">
        <w:rPr>
          <w:color w:val="000000" w:themeColor="text1"/>
          <w:sz w:val="24"/>
          <w:szCs w:val="24"/>
        </w:rPr>
        <w:t>introducing</w:t>
      </w:r>
      <w:r w:rsidR="00E04C7D" w:rsidRPr="00D25040">
        <w:rPr>
          <w:color w:val="000000" w:themeColor="text1"/>
          <w:sz w:val="24"/>
          <w:szCs w:val="24"/>
        </w:rPr>
        <w:t xml:space="preserve"> principles and theor</w:t>
      </w:r>
      <w:r w:rsidR="00B74E19" w:rsidRPr="00D25040">
        <w:rPr>
          <w:color w:val="000000" w:themeColor="text1"/>
          <w:sz w:val="24"/>
          <w:szCs w:val="24"/>
        </w:rPr>
        <w:t>ies, models problem solving through</w:t>
      </w:r>
      <w:r w:rsidR="00E04C7D" w:rsidRPr="00D25040">
        <w:rPr>
          <w:color w:val="000000" w:themeColor="text1"/>
          <w:sz w:val="24"/>
          <w:szCs w:val="24"/>
        </w:rPr>
        <w:t xml:space="preserve"> examples</w:t>
      </w:r>
      <w:r w:rsidR="00B74E19" w:rsidRPr="00D25040">
        <w:rPr>
          <w:color w:val="000000" w:themeColor="text1"/>
          <w:sz w:val="24"/>
          <w:szCs w:val="24"/>
        </w:rPr>
        <w:t xml:space="preserve"> by</w:t>
      </w:r>
      <w:r w:rsidR="00E04C7D" w:rsidRPr="00D25040">
        <w:rPr>
          <w:color w:val="000000" w:themeColor="text1"/>
          <w:sz w:val="24"/>
          <w:szCs w:val="24"/>
        </w:rPr>
        <w:t xml:space="preserve"> applying the principles and theories, then further gives students questions to work on independently </w:t>
      </w:r>
      <w:r w:rsidR="007B41EE" w:rsidRPr="00D25040">
        <w:rPr>
          <w:color w:val="000000" w:themeColor="text1"/>
          <w:sz w:val="24"/>
          <w:szCs w:val="24"/>
        </w:rPr>
        <w:t>(Prince &amp; Felder, 2006)</w:t>
      </w:r>
      <w:r w:rsidR="00E04C7D" w:rsidRPr="00D25040">
        <w:rPr>
          <w:color w:val="000000" w:themeColor="text1"/>
          <w:sz w:val="24"/>
          <w:szCs w:val="24"/>
        </w:rPr>
        <w:t xml:space="preserve">. </w:t>
      </w:r>
      <w:r w:rsidR="00E44DD2">
        <w:rPr>
          <w:color w:val="000000" w:themeColor="text1"/>
          <w:sz w:val="24"/>
          <w:szCs w:val="24"/>
        </w:rPr>
        <w:t>T</w:t>
      </w:r>
      <w:r w:rsidR="00E070AD" w:rsidRPr="00D25040">
        <w:rPr>
          <w:color w:val="000000" w:themeColor="text1"/>
          <w:sz w:val="24"/>
          <w:szCs w:val="24"/>
        </w:rPr>
        <w:t>here are</w:t>
      </w:r>
      <w:r w:rsidR="00E44DD2">
        <w:rPr>
          <w:color w:val="000000" w:themeColor="text1"/>
          <w:sz w:val="24"/>
          <w:szCs w:val="24"/>
        </w:rPr>
        <w:t xml:space="preserve"> also</w:t>
      </w:r>
      <w:r w:rsidR="00E070AD" w:rsidRPr="00D25040">
        <w:rPr>
          <w:color w:val="000000" w:themeColor="text1"/>
          <w:sz w:val="24"/>
          <w:szCs w:val="24"/>
        </w:rPr>
        <w:t xml:space="preserve"> teachers who favor an </w:t>
      </w:r>
      <w:r w:rsidR="00AE49FE" w:rsidRPr="00D25040">
        <w:rPr>
          <w:color w:val="000000" w:themeColor="text1"/>
          <w:sz w:val="24"/>
          <w:szCs w:val="24"/>
        </w:rPr>
        <w:t>inquiry-based teaching model.</w:t>
      </w:r>
      <w:r w:rsidR="00801FF3" w:rsidRPr="00D25040">
        <w:rPr>
          <w:color w:val="000000" w:themeColor="text1"/>
          <w:sz w:val="24"/>
          <w:szCs w:val="24"/>
        </w:rPr>
        <w:t xml:space="preserve"> Inquiry-based teaching begins with presenting a problem or question to the students, </w:t>
      </w:r>
      <w:r w:rsidR="00B74E19" w:rsidRPr="00D25040">
        <w:rPr>
          <w:color w:val="000000" w:themeColor="text1"/>
          <w:sz w:val="24"/>
          <w:szCs w:val="24"/>
        </w:rPr>
        <w:t>and then</w:t>
      </w:r>
      <w:r w:rsidR="00801FF3" w:rsidRPr="00D25040">
        <w:rPr>
          <w:color w:val="000000" w:themeColor="text1"/>
          <w:sz w:val="24"/>
          <w:szCs w:val="24"/>
        </w:rPr>
        <w:t xml:space="preserve"> the students analyze and gather data to construct a</w:t>
      </w:r>
      <w:r w:rsidR="006D37C8" w:rsidRPr="00D25040">
        <w:rPr>
          <w:color w:val="000000" w:themeColor="text1"/>
          <w:sz w:val="24"/>
          <w:szCs w:val="24"/>
        </w:rPr>
        <w:t>n answer (Kuhn, Black, Keselman</w:t>
      </w:r>
      <w:r w:rsidR="00D95332" w:rsidRPr="00D25040">
        <w:rPr>
          <w:color w:val="000000" w:themeColor="text1"/>
          <w:sz w:val="24"/>
          <w:szCs w:val="24"/>
        </w:rPr>
        <w:t xml:space="preserve">, </w:t>
      </w:r>
      <w:r w:rsidR="00801FF3" w:rsidRPr="00D25040">
        <w:rPr>
          <w:color w:val="000000" w:themeColor="text1"/>
          <w:sz w:val="24"/>
          <w:szCs w:val="24"/>
        </w:rPr>
        <w:t>&amp; Kaplan, 2006).</w:t>
      </w:r>
      <w:r w:rsidR="00AE49FE" w:rsidRPr="00D25040">
        <w:rPr>
          <w:color w:val="000000" w:themeColor="text1"/>
          <w:sz w:val="24"/>
          <w:szCs w:val="24"/>
        </w:rPr>
        <w:t xml:space="preserve"> </w:t>
      </w:r>
      <w:r w:rsidR="00486D50" w:rsidRPr="00D25040">
        <w:rPr>
          <w:color w:val="000000" w:themeColor="text1"/>
          <w:sz w:val="24"/>
          <w:szCs w:val="24"/>
        </w:rPr>
        <w:t>Inquiry</w:t>
      </w:r>
      <w:r w:rsidR="00801FF3" w:rsidRPr="00D25040">
        <w:rPr>
          <w:color w:val="000000" w:themeColor="text1"/>
          <w:sz w:val="24"/>
          <w:szCs w:val="24"/>
        </w:rPr>
        <w:t>-based</w:t>
      </w:r>
      <w:r w:rsidR="00486D50" w:rsidRPr="00D25040">
        <w:rPr>
          <w:color w:val="000000" w:themeColor="text1"/>
          <w:sz w:val="24"/>
          <w:szCs w:val="24"/>
        </w:rPr>
        <w:t xml:space="preserve"> teacher</w:t>
      </w:r>
      <w:r w:rsidR="00801FF3" w:rsidRPr="00D25040">
        <w:rPr>
          <w:color w:val="000000" w:themeColor="text1"/>
          <w:sz w:val="24"/>
          <w:szCs w:val="24"/>
        </w:rPr>
        <w:t>s</w:t>
      </w:r>
      <w:r w:rsidR="00486D50" w:rsidRPr="00D25040">
        <w:rPr>
          <w:color w:val="000000" w:themeColor="text1"/>
          <w:sz w:val="24"/>
          <w:szCs w:val="24"/>
        </w:rPr>
        <w:t xml:space="preserve"> guide their students, encourage when necessary, clarify concepts, mediate </w:t>
      </w:r>
      <w:r w:rsidR="00320515" w:rsidRPr="00D25040">
        <w:rPr>
          <w:color w:val="000000" w:themeColor="text1"/>
          <w:sz w:val="24"/>
          <w:szCs w:val="24"/>
        </w:rPr>
        <w:t xml:space="preserve">when students are working in groups, and sometimes lecture (Prince &amp; Felder, 2006). </w:t>
      </w:r>
      <w:r w:rsidR="00D95332" w:rsidRPr="00D25040">
        <w:rPr>
          <w:color w:val="000000" w:themeColor="text1"/>
          <w:sz w:val="24"/>
          <w:szCs w:val="24"/>
        </w:rPr>
        <w:t>Albanese and Mitchell (1993) discuss</w:t>
      </w:r>
      <w:r w:rsidR="00B74E19" w:rsidRPr="00D25040">
        <w:rPr>
          <w:color w:val="000000" w:themeColor="text1"/>
          <w:sz w:val="24"/>
          <w:szCs w:val="24"/>
        </w:rPr>
        <w:t xml:space="preserve"> that students are more inclined to learn a concept when it is understood when the concept is going to </w:t>
      </w:r>
      <w:r w:rsidR="00D95332" w:rsidRPr="00D25040">
        <w:rPr>
          <w:color w:val="000000" w:themeColor="text1"/>
          <w:sz w:val="24"/>
          <w:szCs w:val="24"/>
        </w:rPr>
        <w:t>be applicable</w:t>
      </w:r>
      <w:r w:rsidR="006D37C8" w:rsidRPr="00D25040">
        <w:rPr>
          <w:color w:val="000000" w:themeColor="text1"/>
          <w:sz w:val="24"/>
          <w:szCs w:val="24"/>
        </w:rPr>
        <w:t xml:space="preserve">. </w:t>
      </w:r>
    </w:p>
    <w:p w14:paraId="3514E85E" w14:textId="6FFC4ED4" w:rsidR="00482AC8" w:rsidRPr="00D25040" w:rsidRDefault="00AD222F" w:rsidP="004C6940">
      <w:pPr>
        <w:spacing w:line="480" w:lineRule="auto"/>
        <w:rPr>
          <w:color w:val="000000" w:themeColor="text1"/>
          <w:sz w:val="24"/>
          <w:szCs w:val="24"/>
        </w:rPr>
      </w:pPr>
      <w:r w:rsidRPr="00D25040">
        <w:rPr>
          <w:color w:val="000000" w:themeColor="text1"/>
          <w:sz w:val="24"/>
          <w:szCs w:val="24"/>
        </w:rPr>
        <w:tab/>
        <w:t>Kirschner, Sweller</w:t>
      </w:r>
      <w:r w:rsidR="00D95332" w:rsidRPr="00D25040">
        <w:rPr>
          <w:color w:val="000000" w:themeColor="text1"/>
          <w:sz w:val="24"/>
          <w:szCs w:val="24"/>
        </w:rPr>
        <w:t>,</w:t>
      </w:r>
      <w:r w:rsidRPr="00D25040">
        <w:rPr>
          <w:color w:val="000000" w:themeColor="text1"/>
          <w:sz w:val="24"/>
          <w:szCs w:val="24"/>
        </w:rPr>
        <w:t xml:space="preserve"> </w:t>
      </w:r>
      <w:r w:rsidR="00300821" w:rsidRPr="00D25040">
        <w:rPr>
          <w:color w:val="000000" w:themeColor="text1"/>
          <w:sz w:val="24"/>
          <w:szCs w:val="24"/>
        </w:rPr>
        <w:t xml:space="preserve">and </w:t>
      </w:r>
      <w:r w:rsidRPr="00D25040">
        <w:rPr>
          <w:color w:val="000000" w:themeColor="text1"/>
          <w:sz w:val="24"/>
          <w:szCs w:val="24"/>
        </w:rPr>
        <w:t>Clark (2006) argue</w:t>
      </w:r>
      <w:r w:rsidR="00B44D29" w:rsidRPr="00D25040">
        <w:rPr>
          <w:color w:val="000000" w:themeColor="text1"/>
          <w:sz w:val="24"/>
          <w:szCs w:val="24"/>
        </w:rPr>
        <w:t>d</w:t>
      </w:r>
      <w:r w:rsidRPr="00D25040">
        <w:rPr>
          <w:color w:val="000000" w:themeColor="text1"/>
          <w:sz w:val="24"/>
          <w:szCs w:val="24"/>
        </w:rPr>
        <w:t xml:space="preserve"> that </w:t>
      </w:r>
      <w:r w:rsidR="00C5625C" w:rsidRPr="00D25040">
        <w:rPr>
          <w:color w:val="000000" w:themeColor="text1"/>
          <w:sz w:val="24"/>
          <w:szCs w:val="24"/>
        </w:rPr>
        <w:t>the students</w:t>
      </w:r>
      <w:r w:rsidRPr="00D25040">
        <w:rPr>
          <w:color w:val="000000" w:themeColor="text1"/>
          <w:sz w:val="24"/>
          <w:szCs w:val="24"/>
        </w:rPr>
        <w:t xml:space="preserve"> </w:t>
      </w:r>
      <w:r w:rsidR="00C5625C" w:rsidRPr="00D25040">
        <w:rPr>
          <w:color w:val="000000" w:themeColor="text1"/>
          <w:sz w:val="24"/>
          <w:szCs w:val="24"/>
        </w:rPr>
        <w:t>require teacher</w:t>
      </w:r>
      <w:r w:rsidR="00F43E24" w:rsidRPr="00D25040">
        <w:rPr>
          <w:color w:val="000000" w:themeColor="text1"/>
          <w:sz w:val="24"/>
          <w:szCs w:val="24"/>
        </w:rPr>
        <w:t>s</w:t>
      </w:r>
      <w:r w:rsidR="00C5625C" w:rsidRPr="00D25040">
        <w:rPr>
          <w:color w:val="000000" w:themeColor="text1"/>
          <w:sz w:val="24"/>
          <w:szCs w:val="24"/>
        </w:rPr>
        <w:t xml:space="preserve"> to explicitly teach topics and complete examples in front of the class in order to lea</w:t>
      </w:r>
      <w:r w:rsidR="00B44D29" w:rsidRPr="00D25040">
        <w:rPr>
          <w:color w:val="000000" w:themeColor="text1"/>
          <w:sz w:val="24"/>
          <w:szCs w:val="24"/>
        </w:rPr>
        <w:t>rn. There is merit to</w:t>
      </w:r>
      <w:r w:rsidR="00E44DD2">
        <w:rPr>
          <w:color w:val="000000" w:themeColor="text1"/>
          <w:sz w:val="24"/>
          <w:szCs w:val="24"/>
        </w:rPr>
        <w:t xml:space="preserve"> the argument by</w:t>
      </w:r>
      <w:r w:rsidR="00B44D29" w:rsidRPr="00D25040">
        <w:rPr>
          <w:color w:val="000000" w:themeColor="text1"/>
          <w:sz w:val="24"/>
          <w:szCs w:val="24"/>
        </w:rPr>
        <w:t xml:space="preserve"> Kirschner</w:t>
      </w:r>
      <w:r w:rsidR="00C5625C" w:rsidRPr="00D25040">
        <w:rPr>
          <w:color w:val="000000" w:themeColor="text1"/>
          <w:sz w:val="24"/>
          <w:szCs w:val="24"/>
        </w:rPr>
        <w:t xml:space="preserve"> et al</w:t>
      </w:r>
      <w:r w:rsidR="005F08B4" w:rsidRPr="00D25040">
        <w:rPr>
          <w:color w:val="000000" w:themeColor="text1"/>
          <w:sz w:val="24"/>
          <w:szCs w:val="24"/>
        </w:rPr>
        <w:t>.</w:t>
      </w:r>
      <w:r w:rsidR="00C5625C" w:rsidRPr="00D25040">
        <w:rPr>
          <w:color w:val="000000" w:themeColor="text1"/>
          <w:sz w:val="24"/>
          <w:szCs w:val="24"/>
        </w:rPr>
        <w:t xml:space="preserve"> </w:t>
      </w:r>
      <w:r w:rsidR="00E44DD2">
        <w:rPr>
          <w:color w:val="000000" w:themeColor="text1"/>
          <w:sz w:val="24"/>
          <w:szCs w:val="24"/>
        </w:rPr>
        <w:t>(2006)</w:t>
      </w:r>
      <w:r w:rsidR="00C5625C" w:rsidRPr="00D25040">
        <w:rPr>
          <w:color w:val="000000" w:themeColor="text1"/>
          <w:sz w:val="24"/>
          <w:szCs w:val="24"/>
        </w:rPr>
        <w:t xml:space="preserve">. This idea translates into many of the Alberta curricular </w:t>
      </w:r>
      <w:r w:rsidR="004110B6" w:rsidRPr="00D25040">
        <w:rPr>
          <w:color w:val="000000" w:themeColor="text1"/>
          <w:sz w:val="24"/>
          <w:szCs w:val="24"/>
        </w:rPr>
        <w:t>outcomes</w:t>
      </w:r>
      <w:r w:rsidR="00E44DD2">
        <w:rPr>
          <w:color w:val="000000" w:themeColor="text1"/>
          <w:sz w:val="24"/>
          <w:szCs w:val="24"/>
        </w:rPr>
        <w:t xml:space="preserve"> (Alberta Education, 2004)</w:t>
      </w:r>
      <w:r w:rsidR="004110B6" w:rsidRPr="00D25040">
        <w:rPr>
          <w:color w:val="000000" w:themeColor="text1"/>
          <w:sz w:val="24"/>
          <w:szCs w:val="24"/>
        </w:rPr>
        <w:t>. There are some concepts that are best taught traditionally in order to avoid confusion or frustration. The concepts that are best traditionally taught are usually the non-negotiable outcomes of the curriculum. Non-negotiable outcomes are the outcomes that students need to know to be successful at the next level</w:t>
      </w:r>
      <w:r w:rsidR="005F08B4" w:rsidRPr="00D25040">
        <w:rPr>
          <w:color w:val="000000" w:themeColor="text1"/>
          <w:sz w:val="24"/>
          <w:szCs w:val="24"/>
        </w:rPr>
        <w:t xml:space="preserve">. The next level may </w:t>
      </w:r>
      <w:r w:rsidR="004110B6" w:rsidRPr="00D25040">
        <w:rPr>
          <w:color w:val="000000" w:themeColor="text1"/>
          <w:sz w:val="24"/>
          <w:szCs w:val="24"/>
        </w:rPr>
        <w:t>be the next grade, po</w:t>
      </w:r>
      <w:r w:rsidR="00B44D29" w:rsidRPr="00D25040">
        <w:rPr>
          <w:color w:val="000000" w:themeColor="text1"/>
          <w:sz w:val="24"/>
          <w:szCs w:val="24"/>
        </w:rPr>
        <w:t xml:space="preserve">st-secondary, or career. An </w:t>
      </w:r>
      <w:r w:rsidR="004110B6" w:rsidRPr="00D25040">
        <w:rPr>
          <w:color w:val="000000" w:themeColor="text1"/>
          <w:sz w:val="24"/>
          <w:szCs w:val="24"/>
        </w:rPr>
        <w:t>example of a non-negotiable outcome in mathematics would be dividing. Dividing is necessary when understanding how to factor</w:t>
      </w:r>
      <w:r w:rsidR="005F08B4" w:rsidRPr="00D25040">
        <w:rPr>
          <w:color w:val="000000" w:themeColor="text1"/>
          <w:sz w:val="24"/>
          <w:szCs w:val="24"/>
        </w:rPr>
        <w:t>. Furthermore</w:t>
      </w:r>
      <w:r w:rsidR="00091CA6" w:rsidRPr="00D25040">
        <w:rPr>
          <w:color w:val="000000" w:themeColor="text1"/>
          <w:sz w:val="24"/>
          <w:szCs w:val="24"/>
        </w:rPr>
        <w:t>,</w:t>
      </w:r>
      <w:r w:rsidR="004110B6" w:rsidRPr="00D25040">
        <w:rPr>
          <w:color w:val="000000" w:themeColor="text1"/>
          <w:sz w:val="24"/>
          <w:szCs w:val="24"/>
        </w:rPr>
        <w:t xml:space="preserve"> factoring is necessary when solving rational equations or quadratics. To expect students to problem solve their way through </w:t>
      </w:r>
      <w:r w:rsidR="003879E9" w:rsidRPr="00D25040">
        <w:rPr>
          <w:color w:val="000000" w:themeColor="text1"/>
          <w:sz w:val="24"/>
          <w:szCs w:val="24"/>
        </w:rPr>
        <w:t>quadratics and rational equations they need to retrieve the process of how to divide numbers from their long-</w:t>
      </w:r>
      <w:r w:rsidR="005F08B4" w:rsidRPr="00D25040">
        <w:rPr>
          <w:color w:val="000000" w:themeColor="text1"/>
          <w:sz w:val="24"/>
          <w:szCs w:val="24"/>
        </w:rPr>
        <w:t xml:space="preserve">term </w:t>
      </w:r>
      <w:r w:rsidR="003879E9" w:rsidRPr="00D25040">
        <w:rPr>
          <w:color w:val="000000" w:themeColor="text1"/>
          <w:sz w:val="24"/>
          <w:szCs w:val="24"/>
        </w:rPr>
        <w:t>memory (Kirschner et al</w:t>
      </w:r>
      <w:r w:rsidR="00300821" w:rsidRPr="00D25040">
        <w:rPr>
          <w:color w:val="000000" w:themeColor="text1"/>
          <w:sz w:val="24"/>
          <w:szCs w:val="24"/>
        </w:rPr>
        <w:t>.</w:t>
      </w:r>
      <w:r w:rsidR="003879E9" w:rsidRPr="00D25040">
        <w:rPr>
          <w:color w:val="000000" w:themeColor="text1"/>
          <w:sz w:val="24"/>
          <w:szCs w:val="24"/>
        </w:rPr>
        <w:t>, 2006).</w:t>
      </w:r>
      <w:r w:rsidR="00F12599" w:rsidRPr="00D25040">
        <w:rPr>
          <w:color w:val="000000" w:themeColor="text1"/>
          <w:sz w:val="24"/>
          <w:szCs w:val="24"/>
        </w:rPr>
        <w:t xml:space="preserve"> Th</w:t>
      </w:r>
      <w:r w:rsidR="00482AC8" w:rsidRPr="00D25040">
        <w:rPr>
          <w:color w:val="000000" w:themeColor="text1"/>
          <w:sz w:val="24"/>
          <w:szCs w:val="24"/>
        </w:rPr>
        <w:t>erefore, a traditional model</w:t>
      </w:r>
      <w:r w:rsidR="00F12599" w:rsidRPr="00D25040">
        <w:rPr>
          <w:color w:val="000000" w:themeColor="text1"/>
          <w:sz w:val="24"/>
          <w:szCs w:val="24"/>
        </w:rPr>
        <w:t xml:space="preserve"> would </w:t>
      </w:r>
      <w:r w:rsidR="00482AC8" w:rsidRPr="00D25040">
        <w:rPr>
          <w:color w:val="000000" w:themeColor="text1"/>
          <w:sz w:val="24"/>
          <w:szCs w:val="24"/>
        </w:rPr>
        <w:t>give the instructor the opportunit</w:t>
      </w:r>
      <w:r w:rsidR="00E44DD2">
        <w:rPr>
          <w:color w:val="000000" w:themeColor="text1"/>
          <w:sz w:val="24"/>
          <w:szCs w:val="24"/>
        </w:rPr>
        <w:t xml:space="preserve">y to explicitly teach the outcomes of the curriculum and possible learning devices that will help students memorize information. </w:t>
      </w:r>
      <w:r w:rsidR="005F08B4" w:rsidRPr="00D25040">
        <w:rPr>
          <w:color w:val="000000" w:themeColor="text1"/>
          <w:sz w:val="24"/>
          <w:szCs w:val="24"/>
        </w:rPr>
        <w:t>A learning device might include a rhyme, song,</w:t>
      </w:r>
      <w:r w:rsidR="00091CA6" w:rsidRPr="00D25040">
        <w:rPr>
          <w:color w:val="000000" w:themeColor="text1"/>
          <w:sz w:val="24"/>
          <w:szCs w:val="24"/>
        </w:rPr>
        <w:t xml:space="preserve"> or</w:t>
      </w:r>
      <w:r w:rsidR="005F08B4" w:rsidRPr="00D25040">
        <w:rPr>
          <w:color w:val="000000" w:themeColor="text1"/>
          <w:sz w:val="24"/>
          <w:szCs w:val="24"/>
        </w:rPr>
        <w:t xml:space="preserve"> mnemonic; any method that a student will be able to relate to in order to make concept meaningful.</w:t>
      </w:r>
    </w:p>
    <w:p w14:paraId="3C1F6D93" w14:textId="33FE538B" w:rsidR="00F61A61" w:rsidRPr="00D25040" w:rsidRDefault="00F61A61" w:rsidP="004C6940">
      <w:pPr>
        <w:spacing w:line="480" w:lineRule="auto"/>
        <w:rPr>
          <w:color w:val="000000" w:themeColor="text1"/>
          <w:sz w:val="24"/>
          <w:szCs w:val="24"/>
        </w:rPr>
      </w:pPr>
      <w:r w:rsidRPr="00D25040">
        <w:rPr>
          <w:color w:val="000000" w:themeColor="text1"/>
          <w:sz w:val="24"/>
          <w:szCs w:val="24"/>
        </w:rPr>
        <w:tab/>
        <w:t>As m</w:t>
      </w:r>
      <w:r w:rsidR="00091CA6" w:rsidRPr="00D25040">
        <w:rPr>
          <w:color w:val="000000" w:themeColor="text1"/>
          <w:sz w:val="24"/>
          <w:szCs w:val="24"/>
        </w:rPr>
        <w:t>entioned earlier, another method</w:t>
      </w:r>
      <w:r w:rsidRPr="00D25040">
        <w:rPr>
          <w:color w:val="000000" w:themeColor="text1"/>
          <w:sz w:val="24"/>
          <w:szCs w:val="24"/>
        </w:rPr>
        <w:t xml:space="preserve"> to construct knowledge is through inquiry-based instruction. Inquiry-based teaching facilitates learning by providing</w:t>
      </w:r>
      <w:r w:rsidR="00A4262B" w:rsidRPr="00D25040">
        <w:rPr>
          <w:color w:val="000000" w:themeColor="text1"/>
          <w:sz w:val="24"/>
          <w:szCs w:val="24"/>
        </w:rPr>
        <w:t xml:space="preserve"> guidance and extensive scaffoldi</w:t>
      </w:r>
      <w:r w:rsidR="00091CA6" w:rsidRPr="00D25040">
        <w:rPr>
          <w:color w:val="000000" w:themeColor="text1"/>
          <w:sz w:val="24"/>
          <w:szCs w:val="24"/>
        </w:rPr>
        <w:t>ng, because the</w:t>
      </w:r>
      <w:r w:rsidR="00A4262B" w:rsidRPr="00D25040">
        <w:rPr>
          <w:color w:val="000000" w:themeColor="text1"/>
          <w:sz w:val="24"/>
          <w:szCs w:val="24"/>
        </w:rPr>
        <w:t xml:space="preserve"> students</w:t>
      </w:r>
      <w:r w:rsidR="00091CA6" w:rsidRPr="00D25040">
        <w:rPr>
          <w:color w:val="000000" w:themeColor="text1"/>
          <w:sz w:val="24"/>
          <w:szCs w:val="24"/>
        </w:rPr>
        <w:t xml:space="preserve"> have an opportunity to</w:t>
      </w:r>
      <w:r w:rsidR="00A4262B" w:rsidRPr="00D25040">
        <w:rPr>
          <w:color w:val="000000" w:themeColor="text1"/>
          <w:sz w:val="24"/>
          <w:szCs w:val="24"/>
        </w:rPr>
        <w:t xml:space="preserve"> collaborate with each other to answer authentic problems. Through active collaboration</w:t>
      </w:r>
      <w:r w:rsidR="00091CA6" w:rsidRPr="00D25040">
        <w:rPr>
          <w:color w:val="000000" w:themeColor="text1"/>
          <w:sz w:val="24"/>
          <w:szCs w:val="24"/>
        </w:rPr>
        <w:t>,</w:t>
      </w:r>
      <w:r w:rsidR="00A4262B" w:rsidRPr="00D25040">
        <w:rPr>
          <w:color w:val="000000" w:themeColor="text1"/>
          <w:sz w:val="24"/>
          <w:szCs w:val="24"/>
        </w:rPr>
        <w:t xml:space="preserve"> students learn the majority of the content and develop interpersonal and reasoning skills (Hmelo-Silver, Duncan</w:t>
      </w:r>
      <w:r w:rsidR="002970F3" w:rsidRPr="00D25040">
        <w:rPr>
          <w:color w:val="000000" w:themeColor="text1"/>
          <w:sz w:val="24"/>
          <w:szCs w:val="24"/>
        </w:rPr>
        <w:t>,</w:t>
      </w:r>
      <w:r w:rsidR="00A4262B" w:rsidRPr="00D25040">
        <w:rPr>
          <w:color w:val="000000" w:themeColor="text1"/>
          <w:sz w:val="24"/>
          <w:szCs w:val="24"/>
        </w:rPr>
        <w:t xml:space="preserve"> &amp; Chinn, 2007). </w:t>
      </w:r>
      <w:r w:rsidR="00F726C6" w:rsidRPr="00D25040">
        <w:rPr>
          <w:color w:val="000000" w:themeColor="text1"/>
          <w:sz w:val="24"/>
          <w:szCs w:val="24"/>
        </w:rPr>
        <w:t>Presenting new information in the form of a situation or problem can make the content and experience more relatable to the student, which will increase the chance of the information being stored in long-term memory (Prince &amp; Felder, 2006). Inquiry-based learning encourages deep understanding of content and can increase test results according to Kirschner et al</w:t>
      </w:r>
      <w:r w:rsidR="00300821" w:rsidRPr="00D25040">
        <w:rPr>
          <w:color w:val="000000" w:themeColor="text1"/>
          <w:sz w:val="24"/>
          <w:szCs w:val="24"/>
        </w:rPr>
        <w:t>.</w:t>
      </w:r>
      <w:r w:rsidR="00F726C6" w:rsidRPr="00D25040">
        <w:rPr>
          <w:color w:val="000000" w:themeColor="text1"/>
          <w:sz w:val="24"/>
          <w:szCs w:val="24"/>
        </w:rPr>
        <w:t xml:space="preserve"> (2006). Deep understanding is defined as understanding new information based on prior knowledge, thinking critically about new information rather than simply accepting statements, and taking charge of one’s own learning (Felder &amp; Brent, 2004).</w:t>
      </w:r>
    </w:p>
    <w:p w14:paraId="7DED31DE" w14:textId="2E17F10C" w:rsidR="008058F5" w:rsidRPr="00D25040" w:rsidRDefault="00322F1C" w:rsidP="004C6940">
      <w:pPr>
        <w:spacing w:line="480" w:lineRule="auto"/>
        <w:rPr>
          <w:color w:val="000000" w:themeColor="text1"/>
          <w:sz w:val="24"/>
          <w:szCs w:val="24"/>
        </w:rPr>
      </w:pPr>
      <w:r w:rsidRPr="00D25040">
        <w:rPr>
          <w:color w:val="000000" w:themeColor="text1"/>
          <w:sz w:val="24"/>
          <w:szCs w:val="24"/>
        </w:rPr>
        <w:tab/>
      </w:r>
      <w:r w:rsidR="00F43E24" w:rsidRPr="00D25040">
        <w:rPr>
          <w:color w:val="000000" w:themeColor="text1"/>
          <w:sz w:val="24"/>
          <w:szCs w:val="24"/>
        </w:rPr>
        <w:t xml:space="preserve">It is important that a teacher does not limit him or herself to only one type of teaching style.  There is a non-mutually exclusive relationship between traditional teaching and inquiry-based teaching. Both teaching methods have significance and value. Teaching and learning require some form of traditional instruction and inquiry-based instruction (Prince </w:t>
      </w:r>
      <w:r w:rsidR="00D7770E" w:rsidRPr="00D25040">
        <w:rPr>
          <w:color w:val="000000" w:themeColor="text1"/>
          <w:sz w:val="24"/>
          <w:szCs w:val="24"/>
        </w:rPr>
        <w:t>&amp; Felder, 2006). It is at</w:t>
      </w:r>
      <w:r w:rsidRPr="00D25040">
        <w:rPr>
          <w:color w:val="000000" w:themeColor="text1"/>
          <w:sz w:val="24"/>
          <w:szCs w:val="24"/>
        </w:rPr>
        <w:t xml:space="preserve"> to the teacher’s discretion as to when to implement a necessary teaching method based on the content and the previous knowledge base of the students.  </w:t>
      </w:r>
    </w:p>
    <w:p w14:paraId="6E73FDFC" w14:textId="77777777" w:rsidR="009B0AEE" w:rsidRPr="00D25040" w:rsidRDefault="009B0AEE" w:rsidP="004C6940">
      <w:pPr>
        <w:spacing w:line="480" w:lineRule="auto"/>
        <w:rPr>
          <w:b/>
          <w:color w:val="000000" w:themeColor="text1"/>
          <w:sz w:val="24"/>
          <w:szCs w:val="24"/>
        </w:rPr>
      </w:pPr>
      <w:r w:rsidRPr="00D25040">
        <w:rPr>
          <w:b/>
          <w:color w:val="000000" w:themeColor="text1"/>
          <w:sz w:val="24"/>
          <w:szCs w:val="24"/>
        </w:rPr>
        <w:t>Significance</w:t>
      </w:r>
    </w:p>
    <w:p w14:paraId="11DBF91B" w14:textId="44A52207" w:rsidR="00322F1C" w:rsidRPr="00D25040" w:rsidRDefault="00E177FC" w:rsidP="004C6940">
      <w:pPr>
        <w:spacing w:line="480" w:lineRule="auto"/>
        <w:ind w:firstLine="720"/>
        <w:rPr>
          <w:color w:val="000000" w:themeColor="text1"/>
          <w:sz w:val="24"/>
          <w:szCs w:val="24"/>
        </w:rPr>
      </w:pPr>
      <w:r w:rsidRPr="00D25040">
        <w:rPr>
          <w:color w:val="000000" w:themeColor="text1"/>
          <w:sz w:val="24"/>
          <w:szCs w:val="24"/>
        </w:rPr>
        <w:t xml:space="preserve">Alberta’s performance on the </w:t>
      </w:r>
      <w:r w:rsidR="00864B4E">
        <w:rPr>
          <w:color w:val="000000" w:themeColor="text1"/>
          <w:sz w:val="24"/>
          <w:szCs w:val="24"/>
        </w:rPr>
        <w:t>Programme International for Student Assessment (</w:t>
      </w:r>
      <w:r w:rsidR="0069490E">
        <w:rPr>
          <w:color w:val="000000" w:themeColor="text1"/>
          <w:sz w:val="24"/>
          <w:szCs w:val="24"/>
        </w:rPr>
        <w:t>PISA</w:t>
      </w:r>
      <w:r w:rsidR="00864B4E">
        <w:rPr>
          <w:color w:val="000000" w:themeColor="text1"/>
          <w:sz w:val="24"/>
          <w:szCs w:val="24"/>
        </w:rPr>
        <w:t>)</w:t>
      </w:r>
      <w:r w:rsidRPr="00D25040">
        <w:rPr>
          <w:color w:val="000000" w:themeColor="text1"/>
          <w:sz w:val="24"/>
          <w:szCs w:val="24"/>
        </w:rPr>
        <w:t xml:space="preserve"> </w:t>
      </w:r>
      <w:r w:rsidR="00D7770E" w:rsidRPr="00D25040">
        <w:rPr>
          <w:color w:val="000000" w:themeColor="text1"/>
          <w:sz w:val="24"/>
          <w:szCs w:val="24"/>
        </w:rPr>
        <w:t>shows mathematics results have declined</w:t>
      </w:r>
      <w:r w:rsidRPr="00D25040">
        <w:rPr>
          <w:color w:val="000000" w:themeColor="text1"/>
          <w:sz w:val="24"/>
          <w:szCs w:val="24"/>
        </w:rPr>
        <w:t xml:space="preserve"> from being second in the world in 2003 to seventeenth in 2012. PISA is a global organization that assesses 15-year old students from randomly selected schools to complete problems that assess students</w:t>
      </w:r>
      <w:r w:rsidR="00300821" w:rsidRPr="00D25040">
        <w:rPr>
          <w:color w:val="000000" w:themeColor="text1"/>
          <w:sz w:val="24"/>
          <w:szCs w:val="24"/>
        </w:rPr>
        <w:t>’</w:t>
      </w:r>
      <w:r w:rsidRPr="00D25040">
        <w:rPr>
          <w:color w:val="000000" w:themeColor="text1"/>
          <w:sz w:val="24"/>
          <w:szCs w:val="24"/>
        </w:rPr>
        <w:t xml:space="preserve"> ability to read and complete problems in mathematics and science. Although Alberta remained above the average in 2012 the results are far from impressive in comparison to Alberta’s potential as seen in 2003. In 2003, 7.4% of students in Alberta were considered to be below level 2 in mathematics. Falling below level 2 refers to the students who are innumerate. This statistics mor</w:t>
      </w:r>
      <w:r w:rsidR="00C7251C" w:rsidRPr="00D25040">
        <w:rPr>
          <w:color w:val="000000" w:themeColor="text1"/>
          <w:sz w:val="24"/>
          <w:szCs w:val="24"/>
        </w:rPr>
        <w:t xml:space="preserve">e than doubled in 2012 to 15.1% of students being categorized as below level 2. On the opposite end of the spectrum there are the students that are classified as levels 5 and 6, these are the students who are considered to </w:t>
      </w:r>
      <w:r w:rsidR="005F08B4" w:rsidRPr="00D25040">
        <w:rPr>
          <w:color w:val="000000" w:themeColor="text1"/>
          <w:sz w:val="24"/>
          <w:szCs w:val="24"/>
        </w:rPr>
        <w:t xml:space="preserve">be </w:t>
      </w:r>
      <w:r w:rsidR="00C7251C" w:rsidRPr="00D25040">
        <w:rPr>
          <w:color w:val="000000" w:themeColor="text1"/>
          <w:sz w:val="24"/>
          <w:szCs w:val="24"/>
        </w:rPr>
        <w:t>excellent with numbers. In 2003, 26.8% of Alberta’s students were considered to be level 5 and 6. In 2012, the percentage of students who were considered to be level 5 and 6 dropped to 16.9%. The difference from 2003 to 2012 of level 5 and 6 students in mathematics dropped 9.9%.</w:t>
      </w:r>
    </w:p>
    <w:p w14:paraId="17C1EA54" w14:textId="3392BF82" w:rsidR="006819CC" w:rsidRPr="00D25040" w:rsidRDefault="00C7251C" w:rsidP="004C6940">
      <w:pPr>
        <w:spacing w:line="480" w:lineRule="auto"/>
        <w:ind w:firstLine="720"/>
        <w:rPr>
          <w:color w:val="000000" w:themeColor="text1"/>
          <w:sz w:val="24"/>
          <w:szCs w:val="24"/>
        </w:rPr>
      </w:pPr>
      <w:r w:rsidRPr="00D25040">
        <w:rPr>
          <w:color w:val="000000" w:themeColor="text1"/>
          <w:sz w:val="24"/>
          <w:szCs w:val="24"/>
        </w:rPr>
        <w:t xml:space="preserve">The </w:t>
      </w:r>
      <w:r w:rsidR="00D7770E" w:rsidRPr="00D25040">
        <w:rPr>
          <w:color w:val="000000" w:themeColor="text1"/>
          <w:sz w:val="24"/>
          <w:szCs w:val="24"/>
        </w:rPr>
        <w:t xml:space="preserve">Alberta </w:t>
      </w:r>
      <w:r w:rsidRPr="00D25040">
        <w:rPr>
          <w:color w:val="000000" w:themeColor="text1"/>
          <w:sz w:val="24"/>
          <w:szCs w:val="24"/>
        </w:rPr>
        <w:t>mathematics curriculum in elementary and middle schools in 2003 was focus</w:t>
      </w:r>
      <w:r w:rsidR="00300821" w:rsidRPr="00D25040">
        <w:rPr>
          <w:color w:val="000000" w:themeColor="text1"/>
          <w:sz w:val="24"/>
          <w:szCs w:val="24"/>
        </w:rPr>
        <w:t>ed</w:t>
      </w:r>
      <w:r w:rsidRPr="00D25040">
        <w:rPr>
          <w:color w:val="000000" w:themeColor="text1"/>
          <w:sz w:val="24"/>
          <w:szCs w:val="24"/>
        </w:rPr>
        <w:t xml:space="preserve"> on ro</w:t>
      </w:r>
      <w:r w:rsidR="00C005CE" w:rsidRPr="00D25040">
        <w:rPr>
          <w:color w:val="000000" w:themeColor="text1"/>
          <w:sz w:val="24"/>
          <w:szCs w:val="24"/>
        </w:rPr>
        <w:t>te memorization of basic facts</w:t>
      </w:r>
      <w:r w:rsidR="00300821" w:rsidRPr="00D25040">
        <w:rPr>
          <w:color w:val="000000" w:themeColor="text1"/>
          <w:sz w:val="24"/>
          <w:szCs w:val="24"/>
        </w:rPr>
        <w:t>,</w:t>
      </w:r>
      <w:r w:rsidR="00C005CE" w:rsidRPr="00D25040">
        <w:rPr>
          <w:color w:val="000000" w:themeColor="text1"/>
          <w:sz w:val="24"/>
          <w:szCs w:val="24"/>
        </w:rPr>
        <w:t xml:space="preserve"> and the teacher modeled how to complete mathematics problems. There was a mathematics curriculum change in 2007 that focused more on discovery and </w:t>
      </w:r>
      <w:r w:rsidR="005F08B4" w:rsidRPr="00D25040">
        <w:rPr>
          <w:color w:val="000000" w:themeColor="text1"/>
          <w:sz w:val="24"/>
          <w:szCs w:val="24"/>
        </w:rPr>
        <w:t>constructivist</w:t>
      </w:r>
      <w:r w:rsidR="00C005CE" w:rsidRPr="00D25040">
        <w:rPr>
          <w:color w:val="000000" w:themeColor="text1"/>
          <w:sz w:val="24"/>
          <w:szCs w:val="24"/>
        </w:rPr>
        <w:t xml:space="preserve"> teaching. Students were given the freedom to explore the multiple ways to complete math</w:t>
      </w:r>
      <w:r w:rsidR="00D7770E" w:rsidRPr="00D25040">
        <w:rPr>
          <w:color w:val="000000" w:themeColor="text1"/>
          <w:sz w:val="24"/>
          <w:szCs w:val="24"/>
        </w:rPr>
        <w:t xml:space="preserve"> operations and problems. The purpose</w:t>
      </w:r>
      <w:r w:rsidR="00C005CE" w:rsidRPr="00D25040">
        <w:rPr>
          <w:color w:val="000000" w:themeColor="text1"/>
          <w:sz w:val="24"/>
          <w:szCs w:val="24"/>
        </w:rPr>
        <w:t xml:space="preserve"> of this curriculum change was to allow students to choose the most relevant</w:t>
      </w:r>
      <w:r w:rsidR="005F08B4" w:rsidRPr="00D25040">
        <w:rPr>
          <w:color w:val="000000" w:themeColor="text1"/>
          <w:sz w:val="24"/>
          <w:szCs w:val="24"/>
        </w:rPr>
        <w:t>,</w:t>
      </w:r>
      <w:r w:rsidR="00C005CE" w:rsidRPr="00D25040">
        <w:rPr>
          <w:color w:val="000000" w:themeColor="text1"/>
          <w:sz w:val="24"/>
          <w:szCs w:val="24"/>
        </w:rPr>
        <w:t xml:space="preserve"> best method for the individual student to make math more meaningful. However, without a solid foundation of the basic math facts, the new curriculum caused students to be frustrated, confused, and </w:t>
      </w:r>
      <w:r w:rsidR="005F08B4" w:rsidRPr="00D25040">
        <w:rPr>
          <w:color w:val="000000" w:themeColor="text1"/>
          <w:sz w:val="24"/>
          <w:szCs w:val="24"/>
        </w:rPr>
        <w:t>in some cases</w:t>
      </w:r>
      <w:r w:rsidR="00C005CE" w:rsidRPr="00D25040">
        <w:rPr>
          <w:color w:val="000000" w:themeColor="text1"/>
          <w:sz w:val="24"/>
          <w:szCs w:val="24"/>
        </w:rPr>
        <w:t xml:space="preserve"> innumer</w:t>
      </w:r>
      <w:r w:rsidR="006819CC" w:rsidRPr="00D25040">
        <w:rPr>
          <w:color w:val="000000" w:themeColor="text1"/>
          <w:sz w:val="24"/>
          <w:szCs w:val="24"/>
        </w:rPr>
        <w:t>ate as shown by the st</w:t>
      </w:r>
      <w:r w:rsidR="000A058C" w:rsidRPr="00D25040">
        <w:rPr>
          <w:color w:val="000000" w:themeColor="text1"/>
          <w:sz w:val="24"/>
          <w:szCs w:val="24"/>
        </w:rPr>
        <w:t xml:space="preserve">atistics. This problem has </w:t>
      </w:r>
      <w:r w:rsidR="006819CC" w:rsidRPr="00D25040">
        <w:rPr>
          <w:color w:val="000000" w:themeColor="text1"/>
          <w:sz w:val="24"/>
          <w:szCs w:val="24"/>
        </w:rPr>
        <w:t>surfaced at a media level because parents are outraged by their children’s lack of ability to complete b</w:t>
      </w:r>
      <w:r w:rsidR="000A058C" w:rsidRPr="00D25040">
        <w:rPr>
          <w:color w:val="000000" w:themeColor="text1"/>
          <w:sz w:val="24"/>
          <w:szCs w:val="24"/>
        </w:rPr>
        <w:t xml:space="preserve">asic mathematics. In fact, a </w:t>
      </w:r>
      <w:r w:rsidR="000C1945">
        <w:rPr>
          <w:color w:val="000000" w:themeColor="text1"/>
          <w:sz w:val="24"/>
          <w:szCs w:val="24"/>
        </w:rPr>
        <w:t xml:space="preserve">small-town physician and </w:t>
      </w:r>
      <w:r w:rsidR="000A058C" w:rsidRPr="00D25040">
        <w:rPr>
          <w:color w:val="000000" w:themeColor="text1"/>
          <w:sz w:val="24"/>
          <w:szCs w:val="24"/>
        </w:rPr>
        <w:t>mother</w:t>
      </w:r>
      <w:r w:rsidR="000C1945">
        <w:rPr>
          <w:color w:val="000000" w:themeColor="text1"/>
          <w:sz w:val="24"/>
          <w:szCs w:val="24"/>
        </w:rPr>
        <w:t xml:space="preserve"> from Calmar</w:t>
      </w:r>
      <w:r w:rsidR="006819CC" w:rsidRPr="00D25040">
        <w:rPr>
          <w:color w:val="000000" w:themeColor="text1"/>
          <w:sz w:val="24"/>
          <w:szCs w:val="24"/>
        </w:rPr>
        <w:t xml:space="preserve"> has </w:t>
      </w:r>
      <w:r w:rsidR="000A058C" w:rsidRPr="00D25040">
        <w:rPr>
          <w:color w:val="000000" w:themeColor="text1"/>
          <w:sz w:val="24"/>
          <w:szCs w:val="24"/>
        </w:rPr>
        <w:t xml:space="preserve">spoken </w:t>
      </w:r>
      <w:r w:rsidR="005F08B4" w:rsidRPr="00D25040">
        <w:rPr>
          <w:color w:val="000000" w:themeColor="text1"/>
          <w:sz w:val="24"/>
          <w:szCs w:val="24"/>
        </w:rPr>
        <w:t>on</w:t>
      </w:r>
      <w:r w:rsidR="000A058C" w:rsidRPr="00D25040">
        <w:rPr>
          <w:color w:val="000000" w:themeColor="text1"/>
          <w:sz w:val="24"/>
          <w:szCs w:val="24"/>
        </w:rPr>
        <w:t xml:space="preserve"> CBC Radio and begun</w:t>
      </w:r>
      <w:r w:rsidR="006819CC" w:rsidRPr="00D25040">
        <w:rPr>
          <w:color w:val="000000" w:themeColor="text1"/>
          <w:sz w:val="24"/>
          <w:szCs w:val="24"/>
        </w:rPr>
        <w:t xml:space="preserve"> a province-wide petition</w:t>
      </w:r>
      <w:r w:rsidR="000C1945">
        <w:rPr>
          <w:color w:val="000000" w:themeColor="text1"/>
          <w:sz w:val="24"/>
          <w:szCs w:val="24"/>
        </w:rPr>
        <w:t xml:space="preserve"> (Staples, 2014)</w:t>
      </w:r>
      <w:r w:rsidR="006819CC" w:rsidRPr="00D25040">
        <w:rPr>
          <w:color w:val="000000" w:themeColor="text1"/>
          <w:sz w:val="24"/>
          <w:szCs w:val="24"/>
        </w:rPr>
        <w:t>.</w:t>
      </w:r>
      <w:r w:rsidR="000A058C" w:rsidRPr="00D25040">
        <w:rPr>
          <w:color w:val="000000" w:themeColor="text1"/>
          <w:sz w:val="24"/>
          <w:szCs w:val="24"/>
        </w:rPr>
        <w:t xml:space="preserve"> The purpose of the petition was to encourage the Alberta government to emphasize basic math skills in the cur</w:t>
      </w:r>
      <w:r w:rsidR="000C1945">
        <w:rPr>
          <w:color w:val="000000" w:themeColor="text1"/>
          <w:sz w:val="24"/>
          <w:szCs w:val="24"/>
        </w:rPr>
        <w:t>riculum. The mother from Calmar</w:t>
      </w:r>
      <w:r w:rsidR="000A058C" w:rsidRPr="00D25040">
        <w:rPr>
          <w:color w:val="000000" w:themeColor="text1"/>
          <w:sz w:val="24"/>
          <w:szCs w:val="24"/>
        </w:rPr>
        <w:t xml:space="preserve"> found that her daughter’s math skills were not strong enough and the curriculum was too complex. The curriculum at the elementary level especially focuses on students developing personal strategies to solve math problems rather than mastering the basic facts.</w:t>
      </w:r>
    </w:p>
    <w:p w14:paraId="497BCB00" w14:textId="7F57E455" w:rsidR="008058F5" w:rsidRPr="00D25040" w:rsidRDefault="00D5770C" w:rsidP="004C6940">
      <w:pPr>
        <w:spacing w:line="480" w:lineRule="auto"/>
        <w:ind w:firstLine="720"/>
        <w:rPr>
          <w:color w:val="000000" w:themeColor="text1"/>
          <w:sz w:val="24"/>
          <w:szCs w:val="24"/>
        </w:rPr>
      </w:pPr>
      <w:r w:rsidRPr="00D25040">
        <w:rPr>
          <w:color w:val="000000" w:themeColor="text1"/>
          <w:sz w:val="24"/>
          <w:szCs w:val="24"/>
        </w:rPr>
        <w:t xml:space="preserve">Alberta was not wrong in believing that </w:t>
      </w:r>
      <w:r w:rsidR="005F08B4" w:rsidRPr="00D25040">
        <w:rPr>
          <w:color w:val="000000" w:themeColor="text1"/>
          <w:sz w:val="24"/>
          <w:szCs w:val="24"/>
        </w:rPr>
        <w:t>inquir</w:t>
      </w:r>
      <w:r w:rsidR="002A2FA7" w:rsidRPr="00D25040">
        <w:rPr>
          <w:color w:val="000000" w:themeColor="text1"/>
          <w:sz w:val="24"/>
          <w:szCs w:val="24"/>
        </w:rPr>
        <w:t>y</w:t>
      </w:r>
      <w:r w:rsidR="005F08B4" w:rsidRPr="00D25040">
        <w:rPr>
          <w:color w:val="000000" w:themeColor="text1"/>
          <w:sz w:val="24"/>
          <w:szCs w:val="24"/>
        </w:rPr>
        <w:t>-based</w:t>
      </w:r>
      <w:r w:rsidRPr="00D25040">
        <w:rPr>
          <w:color w:val="000000" w:themeColor="text1"/>
          <w:sz w:val="24"/>
          <w:szCs w:val="24"/>
        </w:rPr>
        <w:t xml:space="preserve"> learning is an effective strategy in mathematics. However, </w:t>
      </w:r>
      <w:r w:rsidR="005F08B4" w:rsidRPr="00D25040">
        <w:rPr>
          <w:color w:val="000000" w:themeColor="text1"/>
          <w:sz w:val="24"/>
          <w:szCs w:val="24"/>
        </w:rPr>
        <w:t xml:space="preserve">inquiry-based </w:t>
      </w:r>
      <w:r w:rsidRPr="00D25040">
        <w:rPr>
          <w:color w:val="000000" w:themeColor="text1"/>
          <w:sz w:val="24"/>
          <w:szCs w:val="24"/>
        </w:rPr>
        <w:t>learning</w:t>
      </w:r>
      <w:r w:rsidR="000A058C" w:rsidRPr="00D25040">
        <w:rPr>
          <w:color w:val="000000" w:themeColor="text1"/>
          <w:sz w:val="24"/>
          <w:szCs w:val="24"/>
        </w:rPr>
        <w:t xml:space="preserve"> can only be implemented when </w:t>
      </w:r>
      <w:r w:rsidRPr="00D25040">
        <w:rPr>
          <w:color w:val="000000" w:themeColor="text1"/>
          <w:sz w:val="24"/>
          <w:szCs w:val="24"/>
        </w:rPr>
        <w:t>students have mastered the prerequisite skills</w:t>
      </w:r>
      <w:r w:rsidR="007738CC" w:rsidRPr="00D25040">
        <w:rPr>
          <w:color w:val="000000" w:themeColor="text1"/>
          <w:sz w:val="24"/>
          <w:szCs w:val="24"/>
        </w:rPr>
        <w:t xml:space="preserve"> and stored these skills in their long term memory </w:t>
      </w:r>
      <w:r w:rsidR="00EA4B01" w:rsidRPr="00D25040">
        <w:rPr>
          <w:color w:val="000000" w:themeColor="text1"/>
          <w:sz w:val="24"/>
          <w:szCs w:val="24"/>
        </w:rPr>
        <w:t>(Kirschner et al., 2006)</w:t>
      </w:r>
      <w:r w:rsidRPr="00D25040">
        <w:rPr>
          <w:color w:val="000000" w:themeColor="text1"/>
          <w:sz w:val="24"/>
          <w:szCs w:val="24"/>
        </w:rPr>
        <w:t>.</w:t>
      </w:r>
      <w:r w:rsidR="002A2FA7" w:rsidRPr="00D25040">
        <w:rPr>
          <w:color w:val="000000" w:themeColor="text1"/>
          <w:sz w:val="24"/>
          <w:szCs w:val="24"/>
        </w:rPr>
        <w:t xml:space="preserve"> Also, there has to be a purpose to why the mathematical skill must be learn</w:t>
      </w:r>
      <w:r w:rsidR="00EA4B01" w:rsidRPr="00D25040">
        <w:rPr>
          <w:color w:val="000000" w:themeColor="text1"/>
          <w:sz w:val="24"/>
          <w:szCs w:val="24"/>
        </w:rPr>
        <w:t>ed</w:t>
      </w:r>
      <w:r w:rsidR="002A2FA7" w:rsidRPr="00D25040">
        <w:rPr>
          <w:color w:val="000000" w:themeColor="text1"/>
          <w:sz w:val="24"/>
          <w:szCs w:val="24"/>
        </w:rPr>
        <w:t>. Otherwise the motivation to learn from the student will be lost.</w:t>
      </w:r>
    </w:p>
    <w:p w14:paraId="6433F653" w14:textId="5BC46F52" w:rsidR="008058F5" w:rsidRPr="00D25040" w:rsidRDefault="00B41133" w:rsidP="004C6940">
      <w:pPr>
        <w:spacing w:line="480" w:lineRule="auto"/>
        <w:rPr>
          <w:b/>
          <w:color w:val="000000" w:themeColor="text1"/>
          <w:sz w:val="24"/>
          <w:szCs w:val="24"/>
        </w:rPr>
      </w:pPr>
      <w:r w:rsidRPr="00D25040">
        <w:rPr>
          <w:b/>
          <w:color w:val="000000" w:themeColor="text1"/>
          <w:sz w:val="24"/>
          <w:szCs w:val="24"/>
        </w:rPr>
        <w:t>Purpose</w:t>
      </w:r>
      <w:r w:rsidR="00570C78" w:rsidRPr="00D25040">
        <w:rPr>
          <w:b/>
          <w:color w:val="000000" w:themeColor="text1"/>
          <w:sz w:val="24"/>
          <w:szCs w:val="24"/>
        </w:rPr>
        <w:tab/>
      </w:r>
    </w:p>
    <w:p w14:paraId="45B03D48" w14:textId="3D69130D" w:rsidR="008058F5" w:rsidRPr="00D25040" w:rsidRDefault="008058F5" w:rsidP="004C6940">
      <w:pPr>
        <w:spacing w:line="480" w:lineRule="auto"/>
        <w:ind w:firstLine="720"/>
        <w:rPr>
          <w:color w:val="000000" w:themeColor="text1"/>
          <w:sz w:val="24"/>
          <w:szCs w:val="24"/>
        </w:rPr>
      </w:pPr>
      <w:r w:rsidRPr="00D25040">
        <w:rPr>
          <w:color w:val="000000" w:themeColor="text1"/>
          <w:sz w:val="24"/>
          <w:szCs w:val="24"/>
        </w:rPr>
        <w:t>The purpose of this investigation is to determine how inquiry</w:t>
      </w:r>
      <w:r w:rsidR="00300821" w:rsidRPr="00D25040">
        <w:rPr>
          <w:color w:val="000000" w:themeColor="text1"/>
          <w:sz w:val="24"/>
          <w:szCs w:val="24"/>
        </w:rPr>
        <w:t>-</w:t>
      </w:r>
      <w:r w:rsidRPr="00D25040">
        <w:rPr>
          <w:color w:val="000000" w:themeColor="text1"/>
          <w:sz w:val="24"/>
          <w:szCs w:val="24"/>
        </w:rPr>
        <w:t xml:space="preserve">based teaching methods </w:t>
      </w:r>
      <w:r w:rsidR="00300821" w:rsidRPr="00D25040">
        <w:rPr>
          <w:color w:val="000000" w:themeColor="text1"/>
          <w:sz w:val="24"/>
          <w:szCs w:val="24"/>
        </w:rPr>
        <w:t xml:space="preserve">affect </w:t>
      </w:r>
      <w:r w:rsidRPr="00D25040">
        <w:rPr>
          <w:color w:val="000000" w:themeColor="text1"/>
          <w:sz w:val="24"/>
          <w:szCs w:val="24"/>
        </w:rPr>
        <w:t>various ability levels in a grade ten math classroom.</w:t>
      </w:r>
      <w:r w:rsidR="00F4389E" w:rsidRPr="00D25040">
        <w:rPr>
          <w:color w:val="000000" w:themeColor="text1"/>
          <w:sz w:val="24"/>
          <w:szCs w:val="24"/>
        </w:rPr>
        <w:t xml:space="preserve"> Alberta Education has</w:t>
      </w:r>
      <w:r w:rsidR="00EA4B01" w:rsidRPr="00D25040">
        <w:rPr>
          <w:color w:val="000000" w:themeColor="text1"/>
          <w:sz w:val="24"/>
          <w:szCs w:val="24"/>
        </w:rPr>
        <w:t xml:space="preserve"> fully adopted and implemented the</w:t>
      </w:r>
      <w:r w:rsidR="00F4389E" w:rsidRPr="00D25040">
        <w:rPr>
          <w:color w:val="000000" w:themeColor="text1"/>
          <w:sz w:val="24"/>
          <w:szCs w:val="24"/>
        </w:rPr>
        <w:t xml:space="preserve"> inquiry-based </w:t>
      </w:r>
      <w:r w:rsidR="00EA4B01" w:rsidRPr="00D25040">
        <w:rPr>
          <w:color w:val="000000" w:themeColor="text1"/>
          <w:sz w:val="24"/>
          <w:szCs w:val="24"/>
        </w:rPr>
        <w:t>learning approach</w:t>
      </w:r>
      <w:r w:rsidR="00F4389E" w:rsidRPr="00D25040">
        <w:rPr>
          <w:color w:val="000000" w:themeColor="text1"/>
          <w:sz w:val="24"/>
          <w:szCs w:val="24"/>
        </w:rPr>
        <w:t>. In 2004, Alberta Education issue</w:t>
      </w:r>
      <w:r w:rsidR="00EA4B01" w:rsidRPr="00D25040">
        <w:rPr>
          <w:color w:val="000000" w:themeColor="text1"/>
          <w:sz w:val="24"/>
          <w:szCs w:val="24"/>
        </w:rPr>
        <w:t>d an extensive teaching guide for</w:t>
      </w:r>
      <w:r w:rsidR="00F4389E" w:rsidRPr="00D25040">
        <w:rPr>
          <w:color w:val="000000" w:themeColor="text1"/>
          <w:sz w:val="24"/>
          <w:szCs w:val="24"/>
        </w:rPr>
        <w:t xml:space="preserve"> implementing inquiry-based learning in all grade and subject levels. </w:t>
      </w:r>
      <w:r w:rsidR="0097441E" w:rsidRPr="00D25040">
        <w:rPr>
          <w:color w:val="000000" w:themeColor="text1"/>
          <w:sz w:val="24"/>
          <w:szCs w:val="24"/>
        </w:rPr>
        <w:t>The guide argued that i</w:t>
      </w:r>
      <w:r w:rsidR="00F4389E" w:rsidRPr="00D25040">
        <w:rPr>
          <w:color w:val="000000" w:themeColor="text1"/>
          <w:sz w:val="24"/>
          <w:szCs w:val="24"/>
        </w:rPr>
        <w:t>nquiry-based learning has the ability for students to have more positive, independent learning experiences that allow them to explore their creativity (K</w:t>
      </w:r>
      <w:r w:rsidR="003B178A" w:rsidRPr="00D25040">
        <w:rPr>
          <w:rFonts w:ascii="Lucida Grande" w:hAnsi="Lucida Grande" w:cs="Lucida Grande"/>
          <w:color w:val="000000" w:themeColor="text1"/>
        </w:rPr>
        <w:t>ü</w:t>
      </w:r>
      <w:r w:rsidR="00F4389E" w:rsidRPr="00D25040">
        <w:rPr>
          <w:color w:val="000000" w:themeColor="text1"/>
          <w:sz w:val="24"/>
          <w:szCs w:val="24"/>
        </w:rPr>
        <w:t xml:space="preserve">hne, 1995). </w:t>
      </w:r>
      <w:r w:rsidR="003B178A" w:rsidRPr="00D25040">
        <w:rPr>
          <w:color w:val="000000" w:themeColor="text1"/>
          <w:sz w:val="24"/>
          <w:szCs w:val="24"/>
        </w:rPr>
        <w:t>Alberta Education (2004) states that in order for inquiry-based learning to change there has to be a culture shift in the classroom and school. Inquiry-based learning has to be made an instructional priority.</w:t>
      </w:r>
      <w:r w:rsidR="0097441E" w:rsidRPr="00D25040">
        <w:rPr>
          <w:color w:val="000000" w:themeColor="text1"/>
          <w:sz w:val="24"/>
          <w:szCs w:val="24"/>
        </w:rPr>
        <w:t xml:space="preserve"> Through inquiry-based instruction </w:t>
      </w:r>
      <w:r w:rsidR="00043239" w:rsidRPr="00D25040">
        <w:rPr>
          <w:color w:val="000000" w:themeColor="text1"/>
          <w:sz w:val="24"/>
          <w:szCs w:val="24"/>
        </w:rPr>
        <w:t>the questions can be enhanced for higher levels</w:t>
      </w:r>
      <w:r w:rsidR="00EA4B01" w:rsidRPr="00D25040">
        <w:rPr>
          <w:color w:val="000000" w:themeColor="text1"/>
          <w:sz w:val="24"/>
          <w:szCs w:val="24"/>
        </w:rPr>
        <w:t xml:space="preserve"> of understanding. Silver, Mesa, Morris, Star &amp; Benken (2009)</w:t>
      </w:r>
      <w:r w:rsidR="00043239" w:rsidRPr="00D25040">
        <w:rPr>
          <w:color w:val="000000" w:themeColor="text1"/>
          <w:sz w:val="24"/>
          <w:szCs w:val="24"/>
        </w:rPr>
        <w:t xml:space="preserve"> </w:t>
      </w:r>
      <w:r w:rsidR="00EA4B01" w:rsidRPr="00D25040">
        <w:rPr>
          <w:color w:val="000000" w:themeColor="text1"/>
          <w:sz w:val="24"/>
          <w:szCs w:val="24"/>
        </w:rPr>
        <w:t>argue</w:t>
      </w:r>
      <w:r w:rsidR="00043239" w:rsidRPr="00D25040">
        <w:rPr>
          <w:color w:val="000000" w:themeColor="text1"/>
          <w:sz w:val="24"/>
          <w:szCs w:val="24"/>
        </w:rPr>
        <w:t xml:space="preserve"> that most math pedagogy and tasks are catered to lower levels of thinking such as recalling and memorizing rather than deep understanding of mathematics. Teaching for a deeper understanding requires teachers to encourage students to explain their process in multiple way and creating connections to r</w:t>
      </w:r>
      <w:r w:rsidR="00EA4B01" w:rsidRPr="00D25040">
        <w:rPr>
          <w:color w:val="000000" w:themeColor="text1"/>
          <w:sz w:val="24"/>
          <w:szCs w:val="24"/>
        </w:rPr>
        <w:t>eal-world problems.</w:t>
      </w:r>
    </w:p>
    <w:p w14:paraId="7CEA7A2F" w14:textId="07890D4F" w:rsidR="00135965" w:rsidRPr="00D25040" w:rsidRDefault="00135965" w:rsidP="004C6940">
      <w:pPr>
        <w:spacing w:line="480" w:lineRule="auto"/>
        <w:ind w:firstLine="720"/>
        <w:rPr>
          <w:color w:val="000000" w:themeColor="text1"/>
          <w:sz w:val="24"/>
          <w:szCs w:val="24"/>
        </w:rPr>
      </w:pPr>
      <w:r w:rsidRPr="00D25040">
        <w:rPr>
          <w:color w:val="000000" w:themeColor="text1"/>
          <w:sz w:val="24"/>
          <w:szCs w:val="24"/>
        </w:rPr>
        <w:t>The relationship between a students’ mathematical success prior to grade ten and t</w:t>
      </w:r>
      <w:r w:rsidR="00294EB3">
        <w:rPr>
          <w:color w:val="000000" w:themeColor="text1"/>
          <w:sz w:val="24"/>
          <w:szCs w:val="24"/>
        </w:rPr>
        <w:t>he teaching method given was</w:t>
      </w:r>
      <w:r w:rsidRPr="00D25040">
        <w:rPr>
          <w:color w:val="000000" w:themeColor="text1"/>
          <w:sz w:val="24"/>
          <w:szCs w:val="24"/>
        </w:rPr>
        <w:t xml:space="preserve"> observed. </w:t>
      </w:r>
      <w:r w:rsidR="00CF5C4E" w:rsidRPr="00D25040">
        <w:rPr>
          <w:color w:val="000000" w:themeColor="text1"/>
          <w:sz w:val="24"/>
          <w:szCs w:val="24"/>
        </w:rPr>
        <w:t>The effect of traditional and inquiry-based teaching on students who are academically successful and compared to those who are less</w:t>
      </w:r>
      <w:r w:rsidR="00294EB3">
        <w:rPr>
          <w:color w:val="000000" w:themeColor="text1"/>
          <w:sz w:val="24"/>
          <w:szCs w:val="24"/>
        </w:rPr>
        <w:t xml:space="preserve"> academic in mathematics was</w:t>
      </w:r>
      <w:r w:rsidR="00CF5C4E" w:rsidRPr="00D25040">
        <w:rPr>
          <w:color w:val="000000" w:themeColor="text1"/>
          <w:sz w:val="24"/>
          <w:szCs w:val="24"/>
        </w:rPr>
        <w:t xml:space="preserve"> analyzed. </w:t>
      </w:r>
      <w:r w:rsidR="00294EB3">
        <w:rPr>
          <w:color w:val="000000" w:themeColor="text1"/>
          <w:sz w:val="24"/>
          <w:szCs w:val="24"/>
        </w:rPr>
        <w:t>An assessment was</w:t>
      </w:r>
      <w:r w:rsidR="00E34891" w:rsidRPr="00D25040">
        <w:rPr>
          <w:color w:val="000000" w:themeColor="text1"/>
          <w:sz w:val="24"/>
          <w:szCs w:val="24"/>
        </w:rPr>
        <w:t xml:space="preserve"> given at the beginning of the semester to distinguish those who are academically inclined in math</w:t>
      </w:r>
      <w:r w:rsidR="00294EB3">
        <w:rPr>
          <w:color w:val="000000" w:themeColor="text1"/>
          <w:sz w:val="24"/>
          <w:szCs w:val="24"/>
        </w:rPr>
        <w:t xml:space="preserve">ematics. The assessment was </w:t>
      </w:r>
      <w:r w:rsidR="00E34891" w:rsidRPr="00D25040">
        <w:rPr>
          <w:color w:val="000000" w:themeColor="text1"/>
          <w:sz w:val="24"/>
          <w:szCs w:val="24"/>
        </w:rPr>
        <w:t>composed of questions that students are required to know in order to be successful i</w:t>
      </w:r>
      <w:r w:rsidR="00A53C45" w:rsidRPr="00D25040">
        <w:rPr>
          <w:color w:val="000000" w:themeColor="text1"/>
          <w:sz w:val="24"/>
          <w:szCs w:val="24"/>
        </w:rPr>
        <w:t>n the Alberta Education grade ten</w:t>
      </w:r>
      <w:r w:rsidR="00E34891" w:rsidRPr="00D25040">
        <w:rPr>
          <w:color w:val="000000" w:themeColor="text1"/>
          <w:sz w:val="24"/>
          <w:szCs w:val="24"/>
        </w:rPr>
        <w:t xml:space="preserve"> math curriculum.</w:t>
      </w:r>
      <w:r w:rsidR="00A53C45" w:rsidRPr="00D25040">
        <w:rPr>
          <w:color w:val="000000" w:themeColor="text1"/>
          <w:sz w:val="24"/>
          <w:szCs w:val="24"/>
        </w:rPr>
        <w:t xml:space="preserve"> These prerequisite skills are outlined in the Alberta Education curriculum and are labeled as prior knowledge.</w:t>
      </w:r>
      <w:r w:rsidR="00E34891" w:rsidRPr="00D25040">
        <w:rPr>
          <w:color w:val="000000" w:themeColor="text1"/>
          <w:sz w:val="24"/>
          <w:szCs w:val="24"/>
        </w:rPr>
        <w:t xml:space="preserve"> </w:t>
      </w:r>
      <w:r w:rsidR="00CF5C4E" w:rsidRPr="00D25040">
        <w:rPr>
          <w:color w:val="000000" w:themeColor="text1"/>
          <w:sz w:val="24"/>
          <w:szCs w:val="24"/>
        </w:rPr>
        <w:t>In this study a student who is</w:t>
      </w:r>
      <w:r w:rsidR="00294EB3">
        <w:rPr>
          <w:color w:val="000000" w:themeColor="text1"/>
          <w:sz w:val="24"/>
          <w:szCs w:val="24"/>
        </w:rPr>
        <w:t xml:space="preserve"> academically successful was</w:t>
      </w:r>
      <w:r w:rsidR="00CF5C4E" w:rsidRPr="00D25040">
        <w:rPr>
          <w:color w:val="000000" w:themeColor="text1"/>
          <w:sz w:val="24"/>
          <w:szCs w:val="24"/>
        </w:rPr>
        <w:t xml:space="preserve"> a student who can achieve high</w:t>
      </w:r>
      <w:r w:rsidR="00EA4B01" w:rsidRPr="00D25040">
        <w:rPr>
          <w:color w:val="000000" w:themeColor="text1"/>
          <w:sz w:val="24"/>
          <w:szCs w:val="24"/>
        </w:rPr>
        <w:t>er</w:t>
      </w:r>
      <w:r w:rsidR="00CF5C4E" w:rsidRPr="00D25040">
        <w:rPr>
          <w:color w:val="000000" w:themeColor="text1"/>
          <w:sz w:val="24"/>
          <w:szCs w:val="24"/>
        </w:rPr>
        <w:t xml:space="preserve"> than a 60% on an assessment of the prerequisi</w:t>
      </w:r>
      <w:r w:rsidR="00A53C45" w:rsidRPr="00D25040">
        <w:rPr>
          <w:color w:val="000000" w:themeColor="text1"/>
          <w:sz w:val="24"/>
          <w:szCs w:val="24"/>
        </w:rPr>
        <w:t>te skills necessary for a grade ten</w:t>
      </w:r>
      <w:r w:rsidR="00CF5C4E" w:rsidRPr="00D25040">
        <w:rPr>
          <w:color w:val="000000" w:themeColor="text1"/>
          <w:sz w:val="24"/>
          <w:szCs w:val="24"/>
        </w:rPr>
        <w:t xml:space="preserve"> mathemat</w:t>
      </w:r>
      <w:r w:rsidR="00E34891" w:rsidRPr="00D25040">
        <w:rPr>
          <w:color w:val="000000" w:themeColor="text1"/>
          <w:sz w:val="24"/>
          <w:szCs w:val="24"/>
        </w:rPr>
        <w:t>ics. A less academic</w:t>
      </w:r>
      <w:r w:rsidR="00EA4B01" w:rsidRPr="00D25040">
        <w:rPr>
          <w:color w:val="000000" w:themeColor="text1"/>
          <w:sz w:val="24"/>
          <w:szCs w:val="24"/>
        </w:rPr>
        <w:t>ally successful s</w:t>
      </w:r>
      <w:r w:rsidR="00294EB3">
        <w:rPr>
          <w:color w:val="000000" w:themeColor="text1"/>
          <w:sz w:val="24"/>
          <w:szCs w:val="24"/>
        </w:rPr>
        <w:t>tudent was</w:t>
      </w:r>
      <w:r w:rsidR="00EA4B01" w:rsidRPr="00D25040">
        <w:rPr>
          <w:color w:val="000000" w:themeColor="text1"/>
          <w:sz w:val="24"/>
          <w:szCs w:val="24"/>
        </w:rPr>
        <w:t xml:space="preserve"> one</w:t>
      </w:r>
      <w:r w:rsidR="00E34891" w:rsidRPr="00D25040">
        <w:rPr>
          <w:color w:val="000000" w:themeColor="text1"/>
          <w:sz w:val="24"/>
          <w:szCs w:val="24"/>
        </w:rPr>
        <w:t xml:space="preserve"> who receive</w:t>
      </w:r>
      <w:r w:rsidR="00EA4B01" w:rsidRPr="00D25040">
        <w:rPr>
          <w:color w:val="000000" w:themeColor="text1"/>
          <w:sz w:val="24"/>
          <w:szCs w:val="24"/>
        </w:rPr>
        <w:t>s</w:t>
      </w:r>
      <w:r w:rsidR="00E34891" w:rsidRPr="00D25040">
        <w:rPr>
          <w:color w:val="000000" w:themeColor="text1"/>
          <w:sz w:val="24"/>
          <w:szCs w:val="24"/>
        </w:rPr>
        <w:t xml:space="preserve"> less </w:t>
      </w:r>
      <w:r w:rsidR="00A53C45" w:rsidRPr="00D25040">
        <w:rPr>
          <w:color w:val="000000" w:themeColor="text1"/>
          <w:sz w:val="24"/>
          <w:szCs w:val="24"/>
        </w:rPr>
        <w:t>than a 60% on the assessment.</w:t>
      </w:r>
      <w:r w:rsidR="001B2942">
        <w:rPr>
          <w:color w:val="000000" w:themeColor="text1"/>
          <w:sz w:val="24"/>
          <w:szCs w:val="24"/>
        </w:rPr>
        <w:t xml:space="preserve"> Although a mark of 60% seems low, this assessment was administered two days after the students came back from summer vacation. Many of the students had made errors on the test that they probably would not have made if they had practiced their math skills prior to taking the test. If the test was administered to the students at the end of grade nine the standard for a high achieving student would have been greater than 60%.</w:t>
      </w:r>
    </w:p>
    <w:p w14:paraId="6EFEEA35" w14:textId="2D1314D1" w:rsidR="000A38E7" w:rsidRPr="00D25040" w:rsidRDefault="001E079E" w:rsidP="004C6940">
      <w:pPr>
        <w:spacing w:line="480" w:lineRule="auto"/>
        <w:ind w:firstLine="720"/>
        <w:rPr>
          <w:color w:val="000000" w:themeColor="text1"/>
          <w:sz w:val="24"/>
          <w:szCs w:val="24"/>
        </w:rPr>
      </w:pPr>
      <w:r w:rsidRPr="00D25040">
        <w:rPr>
          <w:color w:val="000000" w:themeColor="text1"/>
          <w:sz w:val="24"/>
          <w:szCs w:val="24"/>
        </w:rPr>
        <w:t>The grade ten math curriculum in Alberta has been a struggle for many students since it was implemented in 2010. The failure rates in grade ten math have been at an all time high. One of the major changes made to the grade ten math curriculum is that the students are no longer streamed into different math levels as they were in the previous curriculum. All students who pass grade nine are put into the same math class. The name of this course is called Math 10C, where the C stands for combined. This course was developed to ensure that common math standards were met prior to going to the next level of math. Students who perform well in Math 10C (&gt;60%) carry on to Math 20-1. Math 20-1 is more mathematically intense and meant for the students who will eventually need Calculus in order to go onto the next level. Those students w</w:t>
      </w:r>
      <w:r w:rsidR="00BB5D72" w:rsidRPr="00D25040">
        <w:rPr>
          <w:color w:val="000000" w:themeColor="text1"/>
          <w:sz w:val="24"/>
          <w:szCs w:val="24"/>
        </w:rPr>
        <w:t>ho</w:t>
      </w:r>
      <w:r w:rsidRPr="00D25040">
        <w:rPr>
          <w:color w:val="000000" w:themeColor="text1"/>
          <w:sz w:val="24"/>
          <w:szCs w:val="24"/>
        </w:rPr>
        <w:t xml:space="preserve"> receive a passing mark but also a mark less than 60% will be required to go into Math 20-2. The -2 math is for those students that will not need math as perquisite co</w:t>
      </w:r>
      <w:r w:rsidR="00EA4B01" w:rsidRPr="00D25040">
        <w:rPr>
          <w:color w:val="000000" w:themeColor="text1"/>
          <w:sz w:val="24"/>
          <w:szCs w:val="24"/>
        </w:rPr>
        <w:t>urse into post-secondary but</w:t>
      </w:r>
      <w:r w:rsidRPr="00D25040">
        <w:rPr>
          <w:color w:val="000000" w:themeColor="text1"/>
          <w:sz w:val="24"/>
          <w:szCs w:val="24"/>
        </w:rPr>
        <w:t xml:space="preserve"> still have plans to eventually acquire some type of post-secondary degree to go into their field of choice. The</w:t>
      </w:r>
      <w:r w:rsidR="00EA4B01" w:rsidRPr="00D25040">
        <w:rPr>
          <w:color w:val="000000" w:themeColor="text1"/>
          <w:sz w:val="24"/>
          <w:szCs w:val="24"/>
        </w:rPr>
        <w:t>oretically, Math 10C made sense. H</w:t>
      </w:r>
      <w:r w:rsidRPr="00D25040">
        <w:rPr>
          <w:color w:val="000000" w:themeColor="text1"/>
          <w:sz w:val="24"/>
          <w:szCs w:val="24"/>
        </w:rPr>
        <w:t>owever, teachers struggled to differentiate their lessons to meet all of the needs of their students while still teaching a mathematical</w:t>
      </w:r>
      <w:r w:rsidR="002E22B5" w:rsidRPr="00D25040">
        <w:rPr>
          <w:color w:val="000000" w:themeColor="text1"/>
          <w:sz w:val="24"/>
          <w:szCs w:val="24"/>
        </w:rPr>
        <w:t xml:space="preserve">ly intense course. There is a divide between the students who just passed math nine and those who accelerate in math. There is also a disconnect between the math nine curriculum in Alberta and the math ten curriculum. There are outcomes in math nine that are not necessary to know in math ten. There are also prerequisite skills necessary for math ten that are not explored at the necessary depth in math nine for students to be successful given the time frame of a grade ten semester. Many teachers across the province are frustrated with the students’ lack of understanding of the math ten curriculum. </w:t>
      </w:r>
      <w:r w:rsidR="00BB5D72" w:rsidRPr="00D25040">
        <w:rPr>
          <w:color w:val="000000" w:themeColor="text1"/>
          <w:sz w:val="24"/>
          <w:szCs w:val="24"/>
        </w:rPr>
        <w:t>Healthy balances of how to effectively teach the math ten</w:t>
      </w:r>
      <w:r w:rsidR="002E22B5" w:rsidRPr="00D25040">
        <w:rPr>
          <w:color w:val="000000" w:themeColor="text1"/>
          <w:sz w:val="24"/>
          <w:szCs w:val="24"/>
        </w:rPr>
        <w:t xml:space="preserve"> o</w:t>
      </w:r>
      <w:r w:rsidR="00BB5D72" w:rsidRPr="00D25040">
        <w:rPr>
          <w:color w:val="000000" w:themeColor="text1"/>
          <w:sz w:val="24"/>
          <w:szCs w:val="24"/>
        </w:rPr>
        <w:t>utcomes to the student’s varying abilities</w:t>
      </w:r>
      <w:r w:rsidR="00EA4B01" w:rsidRPr="00D25040">
        <w:rPr>
          <w:color w:val="000000" w:themeColor="text1"/>
          <w:sz w:val="24"/>
          <w:szCs w:val="24"/>
        </w:rPr>
        <w:t xml:space="preserve"> are needed</w:t>
      </w:r>
      <w:r w:rsidR="000435C6">
        <w:rPr>
          <w:color w:val="000000" w:themeColor="text1"/>
          <w:sz w:val="24"/>
          <w:szCs w:val="24"/>
        </w:rPr>
        <w:t>.</w:t>
      </w:r>
    </w:p>
    <w:p w14:paraId="15B2BFC8" w14:textId="77777777" w:rsidR="00B41133" w:rsidRPr="00D25040" w:rsidRDefault="00B41133" w:rsidP="004C6940">
      <w:pPr>
        <w:spacing w:line="480" w:lineRule="auto"/>
        <w:rPr>
          <w:b/>
          <w:color w:val="000000" w:themeColor="text1"/>
          <w:sz w:val="24"/>
          <w:szCs w:val="24"/>
        </w:rPr>
      </w:pPr>
      <w:r w:rsidRPr="00D25040">
        <w:rPr>
          <w:b/>
          <w:color w:val="000000" w:themeColor="text1"/>
          <w:sz w:val="24"/>
          <w:szCs w:val="24"/>
        </w:rPr>
        <w:t>Summary</w:t>
      </w:r>
    </w:p>
    <w:p w14:paraId="0FFB753D" w14:textId="4E29F5EE" w:rsidR="00EB22F0" w:rsidRPr="00D25040" w:rsidRDefault="000D2D21" w:rsidP="004C6940">
      <w:pPr>
        <w:spacing w:line="480" w:lineRule="auto"/>
        <w:rPr>
          <w:color w:val="000000" w:themeColor="text1"/>
          <w:sz w:val="24"/>
          <w:szCs w:val="24"/>
        </w:rPr>
      </w:pPr>
      <w:r w:rsidRPr="00D25040">
        <w:rPr>
          <w:color w:val="000000" w:themeColor="text1"/>
          <w:sz w:val="24"/>
          <w:szCs w:val="24"/>
        </w:rPr>
        <w:tab/>
      </w:r>
      <w:r w:rsidR="004B0C0B" w:rsidRPr="00D25040">
        <w:rPr>
          <w:color w:val="000000" w:themeColor="text1"/>
          <w:sz w:val="24"/>
          <w:szCs w:val="24"/>
        </w:rPr>
        <w:t>There is research that supports both traditional and inquiry-based teaching methods. Both methods can be use</w:t>
      </w:r>
      <w:r w:rsidR="00300821" w:rsidRPr="00D25040">
        <w:rPr>
          <w:color w:val="000000" w:themeColor="text1"/>
          <w:sz w:val="24"/>
          <w:szCs w:val="24"/>
        </w:rPr>
        <w:t>d</w:t>
      </w:r>
      <w:r w:rsidR="004B0C0B" w:rsidRPr="00D25040">
        <w:rPr>
          <w:color w:val="000000" w:themeColor="text1"/>
          <w:sz w:val="24"/>
          <w:szCs w:val="24"/>
        </w:rPr>
        <w:t xml:space="preserve"> in a mathematics class depending on the curricular outcome. Some objective</w:t>
      </w:r>
      <w:r w:rsidR="00300821" w:rsidRPr="00D25040">
        <w:rPr>
          <w:color w:val="000000" w:themeColor="text1"/>
          <w:sz w:val="24"/>
          <w:szCs w:val="24"/>
        </w:rPr>
        <w:t>s</w:t>
      </w:r>
      <w:r w:rsidR="004B0C0B" w:rsidRPr="00D25040">
        <w:rPr>
          <w:color w:val="000000" w:themeColor="text1"/>
          <w:sz w:val="24"/>
          <w:szCs w:val="24"/>
        </w:rPr>
        <w:t xml:space="preserve"> require plenty of teacher guidance while other objectives can be researched by the student. An obstacle </w:t>
      </w:r>
      <w:r w:rsidR="00296CA0">
        <w:rPr>
          <w:color w:val="000000" w:themeColor="text1"/>
          <w:sz w:val="24"/>
          <w:szCs w:val="24"/>
        </w:rPr>
        <w:t>when teaching grade tens was</w:t>
      </w:r>
      <w:r w:rsidR="004B0C0B" w:rsidRPr="00D25040">
        <w:rPr>
          <w:color w:val="000000" w:themeColor="text1"/>
          <w:sz w:val="24"/>
          <w:szCs w:val="24"/>
        </w:rPr>
        <w:t xml:space="preserve"> their lack of basic mathematical facts as outlined by the PISA results. </w:t>
      </w:r>
      <w:r w:rsidR="00F25439" w:rsidRPr="00D25040">
        <w:rPr>
          <w:color w:val="000000" w:themeColor="text1"/>
          <w:sz w:val="24"/>
          <w:szCs w:val="24"/>
        </w:rPr>
        <w:t>The missing or lack of prerequisite knowledge for the grad</w:t>
      </w:r>
      <w:r w:rsidR="00296CA0">
        <w:rPr>
          <w:color w:val="000000" w:themeColor="text1"/>
          <w:sz w:val="24"/>
          <w:szCs w:val="24"/>
        </w:rPr>
        <w:t>e ten curriculum was</w:t>
      </w:r>
      <w:r w:rsidR="00F25439" w:rsidRPr="00D25040">
        <w:rPr>
          <w:color w:val="000000" w:themeColor="text1"/>
          <w:sz w:val="24"/>
          <w:szCs w:val="24"/>
        </w:rPr>
        <w:t xml:space="preserve"> addressed before teaching the grade ten math outcomes.</w:t>
      </w:r>
      <w:r w:rsidR="00296CA0">
        <w:rPr>
          <w:color w:val="000000" w:themeColor="text1"/>
          <w:sz w:val="24"/>
          <w:szCs w:val="24"/>
        </w:rPr>
        <w:t xml:space="preserve"> Determining these holes was</w:t>
      </w:r>
      <w:r w:rsidR="00A53C45" w:rsidRPr="00D25040">
        <w:rPr>
          <w:color w:val="000000" w:themeColor="text1"/>
          <w:sz w:val="24"/>
          <w:szCs w:val="24"/>
        </w:rPr>
        <w:t xml:space="preserve"> accomplished by reviewing the assessment given at the beginning of the year. Considering the effects of the teaching methods on the high and low academic students</w:t>
      </w:r>
      <w:r w:rsidR="00296CA0">
        <w:rPr>
          <w:color w:val="000000" w:themeColor="text1"/>
          <w:sz w:val="24"/>
          <w:szCs w:val="24"/>
        </w:rPr>
        <w:t xml:space="preserve"> in the mathematics area was</w:t>
      </w:r>
      <w:r w:rsidR="00A53C45" w:rsidRPr="00D25040">
        <w:rPr>
          <w:color w:val="000000" w:themeColor="text1"/>
          <w:sz w:val="24"/>
          <w:szCs w:val="24"/>
        </w:rPr>
        <w:t xml:space="preserve"> the focus. </w:t>
      </w:r>
    </w:p>
    <w:p w14:paraId="5C4B4170" w14:textId="2C8D643B" w:rsidR="00B41133" w:rsidRPr="00D25040" w:rsidRDefault="00415CC3" w:rsidP="004C6940">
      <w:pPr>
        <w:spacing w:line="480" w:lineRule="auto"/>
        <w:jc w:val="center"/>
        <w:rPr>
          <w:b/>
          <w:color w:val="000000" w:themeColor="text1"/>
          <w:sz w:val="24"/>
          <w:szCs w:val="24"/>
        </w:rPr>
      </w:pPr>
      <w:r w:rsidRPr="00D25040">
        <w:rPr>
          <w:b/>
          <w:color w:val="000000" w:themeColor="text1"/>
          <w:sz w:val="24"/>
          <w:szCs w:val="24"/>
        </w:rPr>
        <w:t xml:space="preserve">Chapter II - </w:t>
      </w:r>
      <w:r w:rsidR="00B41133" w:rsidRPr="00D25040">
        <w:rPr>
          <w:b/>
          <w:color w:val="000000" w:themeColor="text1"/>
          <w:sz w:val="24"/>
          <w:szCs w:val="24"/>
        </w:rPr>
        <w:t>Review of the Literature</w:t>
      </w:r>
    </w:p>
    <w:p w14:paraId="5E75B28F" w14:textId="6BFB7D4D" w:rsidR="00EB22F0" w:rsidRPr="00D25040" w:rsidRDefault="00EB22F0" w:rsidP="004C6940">
      <w:pPr>
        <w:spacing w:line="480" w:lineRule="auto"/>
        <w:rPr>
          <w:color w:val="000000" w:themeColor="text1"/>
          <w:sz w:val="24"/>
          <w:szCs w:val="24"/>
        </w:rPr>
      </w:pPr>
      <w:r w:rsidRPr="00D25040">
        <w:rPr>
          <w:color w:val="000000" w:themeColor="text1"/>
          <w:sz w:val="24"/>
          <w:szCs w:val="24"/>
        </w:rPr>
        <w:tab/>
        <w:t xml:space="preserve">Determining the most appropriate balance of pedagogical methods in the mathematical classroom is </w:t>
      </w:r>
      <w:r w:rsidR="00EA4B01" w:rsidRPr="00D25040">
        <w:rPr>
          <w:color w:val="000000" w:themeColor="text1"/>
          <w:sz w:val="24"/>
          <w:szCs w:val="24"/>
        </w:rPr>
        <w:t xml:space="preserve">a hot topic. It has caused </w:t>
      </w:r>
      <w:r w:rsidRPr="00D25040">
        <w:rPr>
          <w:color w:val="000000" w:themeColor="text1"/>
          <w:sz w:val="24"/>
          <w:szCs w:val="24"/>
        </w:rPr>
        <w:t>much debate and drastically different opinions hav</w:t>
      </w:r>
      <w:r w:rsidR="00ED2D02" w:rsidRPr="00D25040">
        <w:rPr>
          <w:color w:val="000000" w:themeColor="text1"/>
          <w:sz w:val="24"/>
          <w:szCs w:val="24"/>
        </w:rPr>
        <w:t xml:space="preserve">e surfaced as a result of </w:t>
      </w:r>
      <w:r w:rsidRPr="00D25040">
        <w:rPr>
          <w:color w:val="000000" w:themeColor="text1"/>
          <w:sz w:val="24"/>
          <w:szCs w:val="24"/>
        </w:rPr>
        <w:t>educatio</w:t>
      </w:r>
      <w:r w:rsidR="00ED2D02" w:rsidRPr="00D25040">
        <w:rPr>
          <w:color w:val="000000" w:themeColor="text1"/>
          <w:sz w:val="24"/>
          <w:szCs w:val="24"/>
        </w:rPr>
        <w:t>nal conversations and published work.</w:t>
      </w:r>
      <w:r w:rsidR="00F25439" w:rsidRPr="00D25040">
        <w:rPr>
          <w:color w:val="000000" w:themeColor="text1"/>
          <w:sz w:val="24"/>
          <w:szCs w:val="24"/>
        </w:rPr>
        <w:t xml:space="preserve"> </w:t>
      </w:r>
    </w:p>
    <w:p w14:paraId="105E7104" w14:textId="337A158F" w:rsidR="00EB22F0" w:rsidRPr="00D25040" w:rsidRDefault="00EB22F0" w:rsidP="004C6940">
      <w:pPr>
        <w:spacing w:line="480" w:lineRule="auto"/>
        <w:rPr>
          <w:b/>
          <w:color w:val="000000" w:themeColor="text1"/>
          <w:sz w:val="24"/>
          <w:szCs w:val="24"/>
        </w:rPr>
      </w:pPr>
      <w:r w:rsidRPr="00D25040">
        <w:rPr>
          <w:b/>
          <w:color w:val="000000" w:themeColor="text1"/>
          <w:sz w:val="24"/>
          <w:szCs w:val="24"/>
        </w:rPr>
        <w:t>Th</w:t>
      </w:r>
      <w:r w:rsidR="00ED2D02" w:rsidRPr="00D25040">
        <w:rPr>
          <w:b/>
          <w:color w:val="000000" w:themeColor="text1"/>
          <w:sz w:val="24"/>
          <w:szCs w:val="24"/>
        </w:rPr>
        <w:t>ree Strikes Against Only Discover</w:t>
      </w:r>
      <w:r w:rsidR="00116DBD">
        <w:rPr>
          <w:b/>
          <w:color w:val="000000" w:themeColor="text1"/>
          <w:sz w:val="24"/>
          <w:szCs w:val="24"/>
        </w:rPr>
        <w:t>y</w:t>
      </w:r>
      <w:r w:rsidRPr="00D25040">
        <w:rPr>
          <w:b/>
          <w:color w:val="000000" w:themeColor="text1"/>
          <w:sz w:val="24"/>
          <w:szCs w:val="24"/>
        </w:rPr>
        <w:t>-Based Learning</w:t>
      </w:r>
    </w:p>
    <w:p w14:paraId="75520B29" w14:textId="4C29CEB0" w:rsidR="002C5F04" w:rsidRPr="00D25040" w:rsidRDefault="00437484" w:rsidP="004C6940">
      <w:pPr>
        <w:spacing w:line="480" w:lineRule="auto"/>
        <w:rPr>
          <w:color w:val="000000" w:themeColor="text1"/>
          <w:sz w:val="24"/>
          <w:szCs w:val="24"/>
        </w:rPr>
      </w:pPr>
      <w:r w:rsidRPr="00D25040">
        <w:rPr>
          <w:b/>
          <w:color w:val="000000" w:themeColor="text1"/>
          <w:sz w:val="24"/>
          <w:szCs w:val="24"/>
        </w:rPr>
        <w:tab/>
      </w:r>
      <w:r w:rsidR="00EB22F0" w:rsidRPr="00D25040">
        <w:rPr>
          <w:color w:val="000000" w:themeColor="text1"/>
          <w:sz w:val="24"/>
          <w:szCs w:val="24"/>
        </w:rPr>
        <w:t xml:space="preserve">In the 1960s Bruner (1961) performed </w:t>
      </w:r>
      <w:r w:rsidR="00EA4B01" w:rsidRPr="00D25040">
        <w:rPr>
          <w:color w:val="000000" w:themeColor="text1"/>
          <w:sz w:val="24"/>
          <w:szCs w:val="24"/>
        </w:rPr>
        <w:t>an experiment with three comparison</w:t>
      </w:r>
      <w:r w:rsidR="00EB22F0" w:rsidRPr="00D25040">
        <w:rPr>
          <w:color w:val="000000" w:themeColor="text1"/>
          <w:sz w:val="24"/>
          <w:szCs w:val="24"/>
        </w:rPr>
        <w:t xml:space="preserve"> groups: pure discovery (no teacher guidance or help), guided discovery (teacher provides hints, feedback, coaching, etc.), and an expository group (where the teacher provides the answer and problem at the same time). Of the three groups the completely </w:t>
      </w:r>
      <w:r w:rsidR="00ED2D02" w:rsidRPr="00D25040">
        <w:rPr>
          <w:color w:val="000000" w:themeColor="text1"/>
          <w:sz w:val="24"/>
          <w:szCs w:val="24"/>
        </w:rPr>
        <w:t xml:space="preserve">discovery group performed the worst. Students require some form of guidance when discovery-based learning to ensure that they meet the curricular outcome (Shulman </w:t>
      </w:r>
      <w:r w:rsidR="00300821" w:rsidRPr="00D25040">
        <w:rPr>
          <w:color w:val="000000" w:themeColor="text1"/>
          <w:sz w:val="24"/>
          <w:szCs w:val="24"/>
        </w:rPr>
        <w:t xml:space="preserve">&amp; </w:t>
      </w:r>
      <w:r w:rsidR="00ED2D02" w:rsidRPr="00D25040">
        <w:rPr>
          <w:color w:val="000000" w:themeColor="text1"/>
          <w:sz w:val="24"/>
          <w:szCs w:val="24"/>
        </w:rPr>
        <w:t>Keisler</w:t>
      </w:r>
      <w:r w:rsidR="00300821" w:rsidRPr="00D25040">
        <w:rPr>
          <w:color w:val="000000" w:themeColor="text1"/>
          <w:sz w:val="24"/>
          <w:szCs w:val="24"/>
        </w:rPr>
        <w:t>,</w:t>
      </w:r>
      <w:r w:rsidR="00ED2D02" w:rsidRPr="00D25040">
        <w:rPr>
          <w:color w:val="000000" w:themeColor="text1"/>
          <w:sz w:val="24"/>
          <w:szCs w:val="24"/>
        </w:rPr>
        <w:t xml:space="preserve"> 1966).</w:t>
      </w:r>
      <w:r w:rsidR="00117E75" w:rsidRPr="00D25040">
        <w:rPr>
          <w:color w:val="000000" w:themeColor="text1"/>
          <w:sz w:val="24"/>
          <w:szCs w:val="24"/>
        </w:rPr>
        <w:t xml:space="preserve"> Determining how much guidance to provide to students is a difficult to determine (Mayer, 2004).</w:t>
      </w:r>
    </w:p>
    <w:p w14:paraId="3A47B854" w14:textId="58789875" w:rsidR="00306E38" w:rsidRPr="00D25040" w:rsidRDefault="00306E38" w:rsidP="004C6940">
      <w:pPr>
        <w:spacing w:line="480" w:lineRule="auto"/>
        <w:rPr>
          <w:color w:val="000000" w:themeColor="text1"/>
          <w:sz w:val="24"/>
          <w:szCs w:val="24"/>
        </w:rPr>
      </w:pPr>
      <w:r w:rsidRPr="00D25040">
        <w:rPr>
          <w:color w:val="000000" w:themeColor="text1"/>
          <w:sz w:val="24"/>
          <w:szCs w:val="24"/>
        </w:rPr>
        <w:tab/>
      </w:r>
      <w:r w:rsidR="007E2264" w:rsidRPr="00D25040">
        <w:rPr>
          <w:color w:val="000000" w:themeColor="text1"/>
          <w:sz w:val="24"/>
          <w:szCs w:val="24"/>
        </w:rPr>
        <w:t>Students need to make sense of the material by sifting through all information to determine what is important, organizing the relevant information, and make sense of it based on the students</w:t>
      </w:r>
      <w:r w:rsidR="00300821" w:rsidRPr="00D25040">
        <w:rPr>
          <w:color w:val="000000" w:themeColor="text1"/>
          <w:sz w:val="24"/>
          <w:szCs w:val="24"/>
        </w:rPr>
        <w:t>’</w:t>
      </w:r>
      <w:r w:rsidR="007E2264" w:rsidRPr="00D25040">
        <w:rPr>
          <w:color w:val="000000" w:themeColor="text1"/>
          <w:sz w:val="24"/>
          <w:szCs w:val="24"/>
        </w:rPr>
        <w:t xml:space="preserve"> cognitive architecture (Mayer, 2003).</w:t>
      </w:r>
      <w:r w:rsidR="004C6184" w:rsidRPr="00D25040">
        <w:rPr>
          <w:color w:val="000000" w:themeColor="text1"/>
          <w:sz w:val="24"/>
          <w:szCs w:val="24"/>
        </w:rPr>
        <w:t xml:space="preserve"> </w:t>
      </w:r>
      <w:r w:rsidR="0099458C">
        <w:rPr>
          <w:color w:val="000000" w:themeColor="text1"/>
          <w:sz w:val="24"/>
          <w:szCs w:val="24"/>
        </w:rPr>
        <w:t xml:space="preserve">Reed (2006) defines cognitive architectures as cognitive operations and memory stores and codes. </w:t>
      </w:r>
      <w:r w:rsidR="004C6184" w:rsidRPr="00D25040">
        <w:rPr>
          <w:color w:val="000000" w:themeColor="text1"/>
          <w:sz w:val="24"/>
          <w:szCs w:val="24"/>
        </w:rPr>
        <w:t xml:space="preserve">Therefore, conversations providing students with feedback </w:t>
      </w:r>
      <w:r w:rsidR="00DD605B" w:rsidRPr="00D25040">
        <w:rPr>
          <w:color w:val="000000" w:themeColor="text1"/>
          <w:sz w:val="24"/>
          <w:szCs w:val="24"/>
        </w:rPr>
        <w:t>are insignificant without full student understanding of the task (Mayer, 2004).</w:t>
      </w:r>
      <w:r w:rsidR="00BB5D72" w:rsidRPr="00D25040">
        <w:rPr>
          <w:color w:val="000000" w:themeColor="text1"/>
          <w:sz w:val="24"/>
          <w:szCs w:val="24"/>
        </w:rPr>
        <w:t xml:space="preserve"> For an average fifteen-year old in a grade ten math class there is little understanding of why or how the math is significant. </w:t>
      </w:r>
      <w:r w:rsidR="00FA4B8D" w:rsidRPr="00D25040">
        <w:rPr>
          <w:color w:val="000000" w:themeColor="text1"/>
          <w:sz w:val="24"/>
          <w:szCs w:val="24"/>
        </w:rPr>
        <w:t xml:space="preserve">They are capable of grasping the basics of the curriculum the concepts in the Math 10C curriculum have little to no connection to real-word situations. This is a challenge for math teachers at the grade ten level to enhance and apply understanding of the concepts.  </w:t>
      </w:r>
    </w:p>
    <w:p w14:paraId="4A708A77" w14:textId="06B84BCC" w:rsidR="00DD605B" w:rsidRPr="00D25040" w:rsidRDefault="00DD605B" w:rsidP="004C6940">
      <w:pPr>
        <w:spacing w:line="480" w:lineRule="auto"/>
        <w:rPr>
          <w:color w:val="000000" w:themeColor="text1"/>
          <w:sz w:val="24"/>
          <w:szCs w:val="24"/>
        </w:rPr>
      </w:pPr>
      <w:r w:rsidRPr="00D25040">
        <w:rPr>
          <w:color w:val="000000" w:themeColor="text1"/>
          <w:sz w:val="24"/>
          <w:szCs w:val="24"/>
        </w:rPr>
        <w:tab/>
        <w:t>When</w:t>
      </w:r>
      <w:r w:rsidR="00EA4B01" w:rsidRPr="00D25040">
        <w:rPr>
          <w:color w:val="000000" w:themeColor="text1"/>
          <w:sz w:val="24"/>
          <w:szCs w:val="24"/>
        </w:rPr>
        <w:t xml:space="preserve"> Clements and Merriman (1988) investigated</w:t>
      </w:r>
      <w:r w:rsidRPr="00D25040">
        <w:rPr>
          <w:color w:val="000000" w:themeColor="text1"/>
          <w:sz w:val="24"/>
          <w:szCs w:val="24"/>
        </w:rPr>
        <w:t xml:space="preserve"> teaching methods in computer programming courses (computer programming has a strong relation to math language and understanding) t</w:t>
      </w:r>
      <w:r w:rsidR="00EA4B01" w:rsidRPr="00D25040">
        <w:rPr>
          <w:color w:val="000000" w:themeColor="text1"/>
          <w:sz w:val="24"/>
          <w:szCs w:val="24"/>
        </w:rPr>
        <w:t>he pure discovery method showed the weakest results</w:t>
      </w:r>
      <w:r w:rsidR="00825BCF" w:rsidRPr="00D25040">
        <w:rPr>
          <w:color w:val="000000" w:themeColor="text1"/>
          <w:sz w:val="24"/>
          <w:szCs w:val="24"/>
        </w:rPr>
        <w:t xml:space="preserve"> establishing </w:t>
      </w:r>
      <w:r w:rsidRPr="00D25040">
        <w:rPr>
          <w:color w:val="000000" w:themeColor="text1"/>
          <w:sz w:val="24"/>
          <w:szCs w:val="24"/>
        </w:rPr>
        <w:t>that students will not have an understanding of programming lang</w:t>
      </w:r>
      <w:r w:rsidR="00F123EC" w:rsidRPr="00D25040">
        <w:rPr>
          <w:color w:val="000000" w:themeColor="text1"/>
          <w:sz w:val="24"/>
          <w:szCs w:val="24"/>
        </w:rPr>
        <w:t>uage with the absence of prerequisite skills nece</w:t>
      </w:r>
      <w:r w:rsidR="00FA4B8D" w:rsidRPr="00D25040">
        <w:rPr>
          <w:color w:val="000000" w:themeColor="text1"/>
          <w:sz w:val="24"/>
          <w:szCs w:val="24"/>
        </w:rPr>
        <w:t xml:space="preserve">ssary for computer programming. To master a mathematical concept, it is necessary to have a solid understanding of the prerequisite knowledge. This is an obstacle when all students have different educational experiences coming into high school. Trying to encourage a student to discover a mathematical concept without a solid understanding of the previous skills necessary is </w:t>
      </w:r>
      <w:r w:rsidR="00825BCF" w:rsidRPr="00D25040">
        <w:rPr>
          <w:color w:val="000000" w:themeColor="text1"/>
          <w:sz w:val="24"/>
          <w:szCs w:val="24"/>
        </w:rPr>
        <w:t>difficult.</w:t>
      </w:r>
    </w:p>
    <w:p w14:paraId="54A22738" w14:textId="67408003" w:rsidR="003C1F99" w:rsidRPr="00D25040" w:rsidRDefault="003C1F99" w:rsidP="004C6940">
      <w:pPr>
        <w:spacing w:line="480" w:lineRule="auto"/>
        <w:rPr>
          <w:b/>
          <w:color w:val="000000" w:themeColor="text1"/>
          <w:sz w:val="24"/>
          <w:szCs w:val="24"/>
        </w:rPr>
      </w:pPr>
      <w:r w:rsidRPr="00D25040">
        <w:rPr>
          <w:b/>
          <w:color w:val="000000" w:themeColor="text1"/>
          <w:sz w:val="24"/>
          <w:szCs w:val="24"/>
        </w:rPr>
        <w:t>Social Network</w:t>
      </w:r>
      <w:r w:rsidR="00825BCF" w:rsidRPr="00D25040">
        <w:rPr>
          <w:b/>
          <w:color w:val="000000" w:themeColor="text1"/>
          <w:sz w:val="24"/>
          <w:szCs w:val="24"/>
        </w:rPr>
        <w:t>s</w:t>
      </w:r>
      <w:r w:rsidRPr="00D25040">
        <w:rPr>
          <w:b/>
          <w:color w:val="000000" w:themeColor="text1"/>
          <w:sz w:val="24"/>
          <w:szCs w:val="24"/>
        </w:rPr>
        <w:t xml:space="preserve"> Meet</w:t>
      </w:r>
      <w:r w:rsidR="005D7B10" w:rsidRPr="00D25040">
        <w:rPr>
          <w:b/>
          <w:color w:val="000000" w:themeColor="text1"/>
          <w:sz w:val="24"/>
          <w:szCs w:val="24"/>
        </w:rPr>
        <w:t xml:space="preserve"> Inquiry-Based L</w:t>
      </w:r>
      <w:r w:rsidRPr="00D25040">
        <w:rPr>
          <w:b/>
          <w:color w:val="000000" w:themeColor="text1"/>
          <w:sz w:val="24"/>
          <w:szCs w:val="24"/>
        </w:rPr>
        <w:t>earning</w:t>
      </w:r>
    </w:p>
    <w:p w14:paraId="6BC7710C" w14:textId="42D61179" w:rsidR="003C1F99" w:rsidRPr="00D25040" w:rsidRDefault="003C1F99" w:rsidP="004C6940">
      <w:pPr>
        <w:spacing w:line="480" w:lineRule="auto"/>
        <w:rPr>
          <w:color w:val="000000" w:themeColor="text1"/>
          <w:sz w:val="24"/>
          <w:szCs w:val="24"/>
        </w:rPr>
      </w:pPr>
      <w:r w:rsidRPr="00D25040">
        <w:rPr>
          <w:b/>
          <w:color w:val="000000" w:themeColor="text1"/>
          <w:sz w:val="24"/>
          <w:szCs w:val="24"/>
        </w:rPr>
        <w:tab/>
      </w:r>
      <w:r w:rsidR="00825BCF" w:rsidRPr="00D25040">
        <w:rPr>
          <w:color w:val="000000" w:themeColor="text1"/>
          <w:sz w:val="24"/>
          <w:szCs w:val="24"/>
        </w:rPr>
        <w:t>Kong and Song (2014) studied a</w:t>
      </w:r>
      <w:r w:rsidRPr="00D25040">
        <w:rPr>
          <w:color w:val="000000" w:themeColor="text1"/>
          <w:sz w:val="24"/>
          <w:szCs w:val="24"/>
        </w:rPr>
        <w:t xml:space="preserve"> school in Hong Kong </w:t>
      </w:r>
      <w:r w:rsidR="00825BCF" w:rsidRPr="00D25040">
        <w:rPr>
          <w:color w:val="000000" w:themeColor="text1"/>
          <w:sz w:val="24"/>
          <w:szCs w:val="24"/>
        </w:rPr>
        <w:t xml:space="preserve">and </w:t>
      </w:r>
      <w:r w:rsidRPr="00D25040">
        <w:rPr>
          <w:color w:val="000000" w:themeColor="text1"/>
          <w:sz w:val="24"/>
          <w:szCs w:val="24"/>
        </w:rPr>
        <w:t xml:space="preserve">explored the effects of inquiry-based learning in a primary school setting. </w:t>
      </w:r>
      <w:r w:rsidR="00825BCF" w:rsidRPr="00D25040">
        <w:rPr>
          <w:color w:val="000000" w:themeColor="text1"/>
          <w:sz w:val="24"/>
          <w:szCs w:val="24"/>
        </w:rPr>
        <w:t xml:space="preserve">They </w:t>
      </w:r>
      <w:r w:rsidRPr="00D25040">
        <w:rPr>
          <w:color w:val="000000" w:themeColor="text1"/>
          <w:sz w:val="24"/>
          <w:szCs w:val="24"/>
        </w:rPr>
        <w:t>identified the importance of teachers needing the necessary knowledge and training to execute proper inquiry-based learning effectively by having effective training in order to have a seamless learning experience for the students.  There are three types of inquiry-based learning: structured, guided, and open inquiry</w:t>
      </w:r>
      <w:r w:rsidR="00DE2A94" w:rsidRPr="00D25040">
        <w:rPr>
          <w:color w:val="000000" w:themeColor="text1"/>
          <w:sz w:val="24"/>
          <w:szCs w:val="24"/>
        </w:rPr>
        <w:t>. Structured inquiry has the most teacher involvement and open inquiry has the least</w:t>
      </w:r>
      <w:r w:rsidRPr="00D25040">
        <w:rPr>
          <w:color w:val="000000" w:themeColor="text1"/>
          <w:sz w:val="24"/>
          <w:szCs w:val="24"/>
        </w:rPr>
        <w:t xml:space="preserve"> (Colburn, 2000)</w:t>
      </w:r>
      <w:r w:rsidR="00D22AEE" w:rsidRPr="00D25040">
        <w:rPr>
          <w:color w:val="000000" w:themeColor="text1"/>
          <w:sz w:val="24"/>
          <w:szCs w:val="24"/>
        </w:rPr>
        <w:t xml:space="preserve">. </w:t>
      </w:r>
      <w:r w:rsidR="00DE2A94" w:rsidRPr="00D25040">
        <w:rPr>
          <w:color w:val="000000" w:themeColor="text1"/>
          <w:sz w:val="24"/>
          <w:szCs w:val="24"/>
        </w:rPr>
        <w:t xml:space="preserve">Structured inquiry is best for the young learner or a learner who is most familiar with traditional methods. </w:t>
      </w:r>
    </w:p>
    <w:p w14:paraId="29B1FAB3" w14:textId="5BA9E3C4" w:rsidR="00D61B76" w:rsidRPr="00D25040" w:rsidRDefault="00D61B76" w:rsidP="004C6940">
      <w:pPr>
        <w:spacing w:line="480" w:lineRule="auto"/>
        <w:ind w:left="720"/>
        <w:rPr>
          <w:color w:val="000000" w:themeColor="text1"/>
          <w:sz w:val="24"/>
          <w:szCs w:val="24"/>
        </w:rPr>
      </w:pPr>
      <w:r w:rsidRPr="00D25040">
        <w:rPr>
          <w:color w:val="000000" w:themeColor="text1"/>
          <w:sz w:val="24"/>
          <w:szCs w:val="24"/>
        </w:rPr>
        <w:t>To balance the two inquiry approaches, Kong and Song (2014) developed a 5E inquiry-based pedagogical model as follows: (a) “engage” in inquiry topics and questions, (b) “explore” the inquiry methods and processes, (c) “explain” the inquiry analyses and outcomes, (d) “evaluate” the inquiry processes and outcomes and (e) “extend” the inquiry topics and questions. The process is cyclic and progressive but not linear, and may not involve all of the components in each learning cycle. (p.129)</w:t>
      </w:r>
    </w:p>
    <w:p w14:paraId="3CCBE570" w14:textId="75556E49" w:rsidR="00A60B00" w:rsidRPr="00D25040" w:rsidRDefault="00D61B76" w:rsidP="004C6940">
      <w:pPr>
        <w:spacing w:line="480" w:lineRule="auto"/>
        <w:rPr>
          <w:color w:val="000000" w:themeColor="text1"/>
          <w:sz w:val="24"/>
          <w:szCs w:val="24"/>
        </w:rPr>
      </w:pPr>
      <w:r w:rsidRPr="00D25040">
        <w:rPr>
          <w:color w:val="000000" w:themeColor="text1"/>
          <w:sz w:val="24"/>
          <w:szCs w:val="24"/>
        </w:rPr>
        <w:tab/>
      </w:r>
      <w:r w:rsidR="003344F1" w:rsidRPr="00D25040">
        <w:rPr>
          <w:color w:val="000000" w:themeColor="text1"/>
          <w:sz w:val="24"/>
          <w:szCs w:val="24"/>
        </w:rPr>
        <w:t>The students completed the explain stage of the 5E process by posting discoveries and asking questions though the Edmodo website. This form of social media allowed students to get teacher responses quickly and encouraged peer collaboration (Kong &amp; Song, 2014). Edmodo is a safe, educational social networking site. Edmodo allows teachers to create classes where students can post their finding</w:t>
      </w:r>
      <w:r w:rsidR="00FA4B8D" w:rsidRPr="00D25040">
        <w:rPr>
          <w:color w:val="000000" w:themeColor="text1"/>
          <w:sz w:val="24"/>
          <w:szCs w:val="24"/>
        </w:rPr>
        <w:t>s</w:t>
      </w:r>
      <w:r w:rsidR="003344F1" w:rsidRPr="00D25040">
        <w:rPr>
          <w:color w:val="000000" w:themeColor="text1"/>
          <w:sz w:val="24"/>
          <w:szCs w:val="24"/>
        </w:rPr>
        <w:t xml:space="preserve"> safely and the teacher can award the students badges based on their posts and participation.</w:t>
      </w:r>
      <w:r w:rsidR="00D471DB" w:rsidRPr="00D25040">
        <w:rPr>
          <w:color w:val="000000" w:themeColor="text1"/>
          <w:sz w:val="24"/>
          <w:szCs w:val="24"/>
        </w:rPr>
        <w:t xml:space="preserve"> By using Edmodo students are also able to reflect and provide pictures of their recently acquired knowledge or findings. </w:t>
      </w:r>
      <w:r w:rsidR="00A60B00" w:rsidRPr="00D25040">
        <w:rPr>
          <w:color w:val="000000" w:themeColor="text1"/>
          <w:sz w:val="24"/>
          <w:szCs w:val="24"/>
        </w:rPr>
        <w:t>Metacognitive skills are best developed by students who have the opportunity to monitor and reflect on their learning and inquiry strategies (Lin &amp; Lehman, 1999).</w:t>
      </w:r>
    </w:p>
    <w:p w14:paraId="71797105" w14:textId="767A3907" w:rsidR="00A60B00" w:rsidRPr="00D25040" w:rsidRDefault="00D471DB" w:rsidP="004C6940">
      <w:pPr>
        <w:spacing w:line="480" w:lineRule="auto"/>
        <w:ind w:firstLine="720"/>
        <w:rPr>
          <w:color w:val="000000" w:themeColor="text1"/>
          <w:sz w:val="24"/>
          <w:szCs w:val="24"/>
        </w:rPr>
      </w:pPr>
      <w:r w:rsidRPr="00D25040">
        <w:rPr>
          <w:color w:val="000000" w:themeColor="text1"/>
          <w:sz w:val="24"/>
          <w:szCs w:val="24"/>
        </w:rPr>
        <w:t>Song and Kong (2014) had students submit knowledge onto the Edmodo website that was copied and pasted from ano</w:t>
      </w:r>
      <w:r w:rsidR="00825BCF" w:rsidRPr="00D25040">
        <w:rPr>
          <w:color w:val="000000" w:themeColor="text1"/>
          <w:sz w:val="24"/>
          <w:szCs w:val="24"/>
        </w:rPr>
        <w:t>ther website and identify from where the source came</w:t>
      </w:r>
      <w:r w:rsidRPr="00D25040">
        <w:rPr>
          <w:color w:val="000000" w:themeColor="text1"/>
          <w:sz w:val="24"/>
          <w:szCs w:val="24"/>
        </w:rPr>
        <w:t>. Very similar to other teaching styles and methods it is necessary to equip students with the skills necessary to complete projects to avoid plagiarism or missing the learning outcome altogether.</w:t>
      </w:r>
    </w:p>
    <w:p w14:paraId="1F93C074" w14:textId="4A18A71D" w:rsidR="00D61B76" w:rsidRPr="00D25040" w:rsidRDefault="00D471DB" w:rsidP="004C6940">
      <w:pPr>
        <w:spacing w:line="480" w:lineRule="auto"/>
        <w:ind w:firstLine="720"/>
        <w:rPr>
          <w:color w:val="000000" w:themeColor="text1"/>
          <w:sz w:val="24"/>
          <w:szCs w:val="24"/>
        </w:rPr>
      </w:pPr>
      <w:r w:rsidRPr="00D25040">
        <w:rPr>
          <w:color w:val="000000" w:themeColor="text1"/>
          <w:sz w:val="24"/>
          <w:szCs w:val="24"/>
        </w:rPr>
        <w:t>Kong and Song’s (2014)</w:t>
      </w:r>
      <w:r w:rsidR="00A60B00" w:rsidRPr="00D25040">
        <w:rPr>
          <w:color w:val="000000" w:themeColor="text1"/>
          <w:sz w:val="24"/>
          <w:szCs w:val="24"/>
        </w:rPr>
        <w:t xml:space="preserve"> </w:t>
      </w:r>
      <w:r w:rsidR="00EA4DFD" w:rsidRPr="00D25040">
        <w:rPr>
          <w:color w:val="000000" w:themeColor="text1"/>
          <w:sz w:val="24"/>
          <w:szCs w:val="24"/>
        </w:rPr>
        <w:t>found</w:t>
      </w:r>
      <w:r w:rsidRPr="00D25040">
        <w:rPr>
          <w:color w:val="000000" w:themeColor="text1"/>
          <w:sz w:val="24"/>
          <w:szCs w:val="24"/>
        </w:rPr>
        <w:t xml:space="preserve"> significant learning </w:t>
      </w:r>
      <w:r w:rsidR="00EA4DFD" w:rsidRPr="00D25040">
        <w:rPr>
          <w:color w:val="000000" w:themeColor="text1"/>
          <w:sz w:val="24"/>
          <w:szCs w:val="24"/>
        </w:rPr>
        <w:t>gains</w:t>
      </w:r>
      <w:r w:rsidRPr="00D25040">
        <w:rPr>
          <w:color w:val="000000" w:themeColor="text1"/>
          <w:sz w:val="24"/>
          <w:szCs w:val="24"/>
        </w:rPr>
        <w:t xml:space="preserve"> </w:t>
      </w:r>
      <w:r w:rsidR="00A60B00" w:rsidRPr="00D25040">
        <w:rPr>
          <w:color w:val="000000" w:themeColor="text1"/>
          <w:sz w:val="24"/>
          <w:szCs w:val="24"/>
        </w:rPr>
        <w:t>for the unit f</w:t>
      </w:r>
      <w:r w:rsidR="00EA4DFD" w:rsidRPr="00D25040">
        <w:rPr>
          <w:color w:val="000000" w:themeColor="text1"/>
          <w:sz w:val="24"/>
          <w:szCs w:val="24"/>
        </w:rPr>
        <w:t>or which they gathered data</w:t>
      </w:r>
      <w:r w:rsidRPr="00D25040">
        <w:rPr>
          <w:color w:val="000000" w:themeColor="text1"/>
          <w:sz w:val="24"/>
          <w:szCs w:val="24"/>
        </w:rPr>
        <w:t>. T</w:t>
      </w:r>
      <w:r w:rsidR="003344F1" w:rsidRPr="00D25040">
        <w:rPr>
          <w:color w:val="000000" w:themeColor="text1"/>
          <w:sz w:val="24"/>
          <w:szCs w:val="24"/>
        </w:rPr>
        <w:t xml:space="preserve">he pre-average score of the unit was 11.65 while the post-average score was 22.50, p&lt;0.05. </w:t>
      </w:r>
      <w:r w:rsidR="00EA4DFD" w:rsidRPr="00D25040">
        <w:rPr>
          <w:color w:val="000000" w:themeColor="text1"/>
          <w:sz w:val="24"/>
          <w:szCs w:val="24"/>
        </w:rPr>
        <w:t>They</w:t>
      </w:r>
      <w:r w:rsidR="003344F1" w:rsidRPr="00D25040">
        <w:rPr>
          <w:color w:val="000000" w:themeColor="text1"/>
          <w:sz w:val="24"/>
          <w:szCs w:val="24"/>
        </w:rPr>
        <w:t xml:space="preserve"> argued that the students did have a strong knowledge of the content area and most of the marks docked were due to not using the proper Chinese char</w:t>
      </w:r>
      <w:r w:rsidRPr="00D25040">
        <w:rPr>
          <w:color w:val="000000" w:themeColor="text1"/>
          <w:sz w:val="24"/>
          <w:szCs w:val="24"/>
        </w:rPr>
        <w:t>acters when writing their work.</w:t>
      </w:r>
      <w:r w:rsidR="00FA4B8D" w:rsidRPr="00D25040">
        <w:rPr>
          <w:color w:val="000000" w:themeColor="text1"/>
          <w:sz w:val="24"/>
          <w:szCs w:val="24"/>
        </w:rPr>
        <w:t xml:space="preserve"> The</w:t>
      </w:r>
      <w:r w:rsidR="00EA4DFD" w:rsidRPr="00D25040">
        <w:rPr>
          <w:color w:val="000000" w:themeColor="text1"/>
          <w:sz w:val="24"/>
          <w:szCs w:val="24"/>
        </w:rPr>
        <w:t>y also point out that the</w:t>
      </w:r>
      <w:r w:rsidR="00FA4B8D" w:rsidRPr="00D25040">
        <w:rPr>
          <w:color w:val="000000" w:themeColor="text1"/>
          <w:sz w:val="24"/>
          <w:szCs w:val="24"/>
        </w:rPr>
        <w:t xml:space="preserve"> advantage of using social media throughout an inquiry-based project is that students can work at their own pace on projects where the difficulty can change based on the individual student.</w:t>
      </w:r>
    </w:p>
    <w:p w14:paraId="43BC4300" w14:textId="02B11E9F" w:rsidR="002E22B5" w:rsidRPr="00D25040" w:rsidRDefault="002E22B5" w:rsidP="004C6940">
      <w:pPr>
        <w:spacing w:line="480" w:lineRule="auto"/>
        <w:rPr>
          <w:b/>
          <w:color w:val="000000" w:themeColor="text1"/>
          <w:sz w:val="24"/>
          <w:szCs w:val="24"/>
        </w:rPr>
      </w:pPr>
      <w:r w:rsidRPr="00D25040">
        <w:rPr>
          <w:b/>
          <w:color w:val="000000" w:themeColor="text1"/>
          <w:sz w:val="24"/>
          <w:szCs w:val="24"/>
        </w:rPr>
        <w:t>Teaching Methods in a Rural Setting</w:t>
      </w:r>
    </w:p>
    <w:p w14:paraId="1AB87C8A" w14:textId="6D029098" w:rsidR="00374C38" w:rsidRPr="00D25040" w:rsidRDefault="002E22B5" w:rsidP="004C6940">
      <w:pPr>
        <w:spacing w:line="480" w:lineRule="auto"/>
        <w:rPr>
          <w:color w:val="000000" w:themeColor="text1"/>
          <w:sz w:val="24"/>
          <w:szCs w:val="24"/>
        </w:rPr>
      </w:pPr>
      <w:r w:rsidRPr="00D25040">
        <w:rPr>
          <w:color w:val="000000" w:themeColor="text1"/>
          <w:sz w:val="24"/>
          <w:szCs w:val="24"/>
        </w:rPr>
        <w:tab/>
      </w:r>
      <w:r w:rsidR="00EA4DFD" w:rsidRPr="00D25040">
        <w:rPr>
          <w:color w:val="000000" w:themeColor="text1"/>
          <w:sz w:val="24"/>
          <w:szCs w:val="24"/>
        </w:rPr>
        <w:t xml:space="preserve">It has been shown </w:t>
      </w:r>
      <w:r w:rsidR="00132046" w:rsidRPr="00D25040">
        <w:rPr>
          <w:color w:val="000000" w:themeColor="text1"/>
          <w:sz w:val="24"/>
          <w:szCs w:val="24"/>
        </w:rPr>
        <w:t>that the USA is not at the same level of education in comparison to other countries on a global scale in the field of mathematics.</w:t>
      </w:r>
      <w:r w:rsidR="00523DAE" w:rsidRPr="00D25040">
        <w:rPr>
          <w:color w:val="000000" w:themeColor="text1"/>
          <w:sz w:val="24"/>
          <w:szCs w:val="24"/>
        </w:rPr>
        <w:t xml:space="preserve"> The USA was ranked 36</w:t>
      </w:r>
      <w:r w:rsidR="00523DAE" w:rsidRPr="00D25040">
        <w:rPr>
          <w:color w:val="000000" w:themeColor="text1"/>
          <w:sz w:val="24"/>
          <w:szCs w:val="24"/>
          <w:vertAlign w:val="superscript"/>
        </w:rPr>
        <w:t>th</w:t>
      </w:r>
      <w:r w:rsidR="00523DAE" w:rsidRPr="00D25040">
        <w:rPr>
          <w:color w:val="000000" w:themeColor="text1"/>
          <w:sz w:val="24"/>
          <w:szCs w:val="24"/>
        </w:rPr>
        <w:t xml:space="preserve"> internationally on the 2012 mathematics PISA results with an average score of 481. The overall average of the PISA scores for those countries that participated was 494. One the 2012 PISA </w:t>
      </w:r>
      <w:r w:rsidR="00102251" w:rsidRPr="00D25040">
        <w:rPr>
          <w:color w:val="000000" w:themeColor="text1"/>
          <w:sz w:val="24"/>
          <w:szCs w:val="24"/>
        </w:rPr>
        <w:t xml:space="preserve">results document, the USA was categorized as a country with a mean share of top performers </w:t>
      </w:r>
      <w:r w:rsidR="00513912">
        <w:rPr>
          <w:color w:val="000000" w:themeColor="text1"/>
          <w:sz w:val="24"/>
          <w:szCs w:val="24"/>
        </w:rPr>
        <w:t xml:space="preserve">that </w:t>
      </w:r>
      <w:r w:rsidR="00102251" w:rsidRPr="00D25040">
        <w:rPr>
          <w:color w:val="000000" w:themeColor="text1"/>
          <w:sz w:val="24"/>
          <w:szCs w:val="24"/>
        </w:rPr>
        <w:t xml:space="preserve">was below the Organization for Co-Operation and Development (OECD) average and had a share of low achievers above the OECD average. </w:t>
      </w:r>
      <w:r w:rsidR="00132046" w:rsidRPr="00D25040">
        <w:rPr>
          <w:color w:val="000000" w:themeColor="text1"/>
          <w:sz w:val="24"/>
          <w:szCs w:val="24"/>
        </w:rPr>
        <w:t>The USA h</w:t>
      </w:r>
      <w:r w:rsidR="00102251" w:rsidRPr="00D25040">
        <w:rPr>
          <w:color w:val="000000" w:themeColor="text1"/>
          <w:sz w:val="24"/>
          <w:szCs w:val="24"/>
        </w:rPr>
        <w:t>as also been under scrutiny because</w:t>
      </w:r>
      <w:r w:rsidR="00132046" w:rsidRPr="00D25040">
        <w:rPr>
          <w:color w:val="000000" w:themeColor="text1"/>
          <w:sz w:val="24"/>
          <w:szCs w:val="24"/>
        </w:rPr>
        <w:t xml:space="preserve"> the curriculum is not providing students with the skills to be successful and competitive after grade school. </w:t>
      </w:r>
      <w:r w:rsidR="00374C38" w:rsidRPr="00D25040">
        <w:rPr>
          <w:color w:val="000000" w:themeColor="text1"/>
          <w:sz w:val="24"/>
          <w:szCs w:val="24"/>
        </w:rPr>
        <w:t xml:space="preserve">In response to these criticisms </w:t>
      </w:r>
      <w:r w:rsidR="00102251" w:rsidRPr="00D25040">
        <w:rPr>
          <w:color w:val="000000" w:themeColor="text1"/>
          <w:sz w:val="24"/>
          <w:szCs w:val="24"/>
        </w:rPr>
        <w:t xml:space="preserve">Grady, Watkins, &amp; Montalvo (2012) completed </w:t>
      </w:r>
      <w:r w:rsidR="00374C38" w:rsidRPr="00D25040">
        <w:rPr>
          <w:color w:val="000000" w:themeColor="text1"/>
          <w:sz w:val="24"/>
          <w:szCs w:val="24"/>
        </w:rPr>
        <w:t>a seven year study to compare and contrast three different teaching methods in rural schools in Illinois, USA</w:t>
      </w:r>
      <w:r w:rsidR="00102251" w:rsidRPr="00D25040">
        <w:rPr>
          <w:color w:val="000000" w:themeColor="text1"/>
          <w:sz w:val="24"/>
          <w:szCs w:val="24"/>
        </w:rPr>
        <w:t xml:space="preserve">. </w:t>
      </w:r>
      <w:r w:rsidR="00E05F1D" w:rsidRPr="00D25040">
        <w:rPr>
          <w:color w:val="000000" w:themeColor="text1"/>
          <w:sz w:val="24"/>
          <w:szCs w:val="24"/>
        </w:rPr>
        <w:t xml:space="preserve">Three different school districts were included in the study. Each school district taught the mathematics curriculum </w:t>
      </w:r>
      <w:r w:rsidR="00965723" w:rsidRPr="00D25040">
        <w:rPr>
          <w:color w:val="000000" w:themeColor="text1"/>
          <w:sz w:val="24"/>
          <w:szCs w:val="24"/>
        </w:rPr>
        <w:t xml:space="preserve">by three different types of pedagogical approaches. One </w:t>
      </w:r>
      <w:r w:rsidR="00F4059E" w:rsidRPr="00D25040">
        <w:rPr>
          <w:color w:val="000000" w:themeColor="text1"/>
          <w:sz w:val="24"/>
          <w:szCs w:val="24"/>
        </w:rPr>
        <w:t>district</w:t>
      </w:r>
      <w:r w:rsidR="00965723" w:rsidRPr="00D25040">
        <w:rPr>
          <w:color w:val="000000" w:themeColor="text1"/>
          <w:sz w:val="24"/>
          <w:szCs w:val="24"/>
        </w:rPr>
        <w:t xml:space="preserve"> taught the curriculum traditionally, another taught</w:t>
      </w:r>
      <w:r w:rsidR="00F4059E" w:rsidRPr="00D25040">
        <w:rPr>
          <w:color w:val="000000" w:themeColor="text1"/>
          <w:sz w:val="24"/>
          <w:szCs w:val="24"/>
        </w:rPr>
        <w:t xml:space="preserve"> the curriculum using constructivist instruction</w:t>
      </w:r>
      <w:r w:rsidR="00965723" w:rsidRPr="00D25040">
        <w:rPr>
          <w:color w:val="000000" w:themeColor="text1"/>
          <w:sz w:val="24"/>
          <w:szCs w:val="24"/>
        </w:rPr>
        <w:t>, while the last district taught the curric</w:t>
      </w:r>
      <w:r w:rsidR="00F4059E" w:rsidRPr="00D25040">
        <w:rPr>
          <w:color w:val="000000" w:themeColor="text1"/>
          <w:sz w:val="24"/>
          <w:szCs w:val="24"/>
        </w:rPr>
        <w:t>ulum using both constructivist and traditional teaching methods. Constructivist teaching is one way to achieve inquiry based learning.</w:t>
      </w:r>
      <w:r w:rsidR="00C1055B" w:rsidRPr="00D25040">
        <w:rPr>
          <w:color w:val="000000" w:themeColor="text1"/>
          <w:sz w:val="24"/>
          <w:szCs w:val="24"/>
        </w:rPr>
        <w:t xml:space="preserve"> Grady, et al. (2012) defined constructivist learning as an active process where both teachers and </w:t>
      </w:r>
      <w:r w:rsidR="002E5699" w:rsidRPr="00D25040">
        <w:rPr>
          <w:color w:val="000000" w:themeColor="text1"/>
          <w:sz w:val="24"/>
          <w:szCs w:val="24"/>
        </w:rPr>
        <w:t>students are constant</w:t>
      </w:r>
      <w:r w:rsidR="00EB4845">
        <w:rPr>
          <w:color w:val="000000" w:themeColor="text1"/>
          <w:sz w:val="24"/>
          <w:szCs w:val="24"/>
        </w:rPr>
        <w:t>ly</w:t>
      </w:r>
      <w:r w:rsidR="002E5699" w:rsidRPr="00D25040">
        <w:rPr>
          <w:color w:val="000000" w:themeColor="text1"/>
          <w:sz w:val="24"/>
          <w:szCs w:val="24"/>
        </w:rPr>
        <w:t xml:space="preserve"> learning. Furthermore, constructivism can be defined as the </w:t>
      </w:r>
      <w:r w:rsidR="00EB4845">
        <w:rPr>
          <w:color w:val="000000" w:themeColor="text1"/>
          <w:sz w:val="24"/>
          <w:szCs w:val="24"/>
        </w:rPr>
        <w:t>teachers and students interacting through words an actions to create meaningful connections (Cobb, 1988).</w:t>
      </w:r>
    </w:p>
    <w:p w14:paraId="60685F08" w14:textId="2E21CEEC" w:rsidR="00E93A35" w:rsidRPr="00D25040" w:rsidRDefault="00E93A35" w:rsidP="004C6940">
      <w:pPr>
        <w:spacing w:line="480" w:lineRule="auto"/>
        <w:rPr>
          <w:color w:val="000000" w:themeColor="text1"/>
          <w:sz w:val="24"/>
          <w:szCs w:val="24"/>
        </w:rPr>
      </w:pPr>
      <w:r w:rsidRPr="00D25040">
        <w:rPr>
          <w:color w:val="000000" w:themeColor="text1"/>
          <w:sz w:val="24"/>
          <w:szCs w:val="24"/>
        </w:rPr>
        <w:tab/>
        <w:t>N</w:t>
      </w:r>
      <w:r w:rsidR="00F4059E" w:rsidRPr="00D25040">
        <w:rPr>
          <w:color w:val="000000" w:themeColor="text1"/>
          <w:sz w:val="24"/>
          <w:szCs w:val="24"/>
        </w:rPr>
        <w:t>o statistical difference was shown betwee</w:t>
      </w:r>
      <w:r w:rsidR="00A42ACB">
        <w:rPr>
          <w:color w:val="000000" w:themeColor="text1"/>
          <w:sz w:val="24"/>
          <w:szCs w:val="24"/>
        </w:rPr>
        <w:t>n the three methods. T</w:t>
      </w:r>
      <w:r w:rsidR="00F4059E" w:rsidRPr="00D25040">
        <w:rPr>
          <w:color w:val="000000" w:themeColor="text1"/>
          <w:sz w:val="24"/>
          <w:szCs w:val="24"/>
        </w:rPr>
        <w:t>he district that used both traditional and constructivist teaching did have the highest results for students who had in</w:t>
      </w:r>
      <w:r w:rsidRPr="00D25040">
        <w:rPr>
          <w:color w:val="000000" w:themeColor="text1"/>
          <w:sz w:val="24"/>
          <w:szCs w:val="24"/>
        </w:rPr>
        <w:t>dividualized educational plans.</w:t>
      </w:r>
    </w:p>
    <w:p w14:paraId="62C2BE96" w14:textId="3399D55B" w:rsidR="00F4059E" w:rsidRPr="00D25040" w:rsidRDefault="00BA0ABF" w:rsidP="004C6940">
      <w:pPr>
        <w:spacing w:line="480" w:lineRule="auto"/>
        <w:ind w:firstLine="720"/>
        <w:rPr>
          <w:color w:val="000000" w:themeColor="text1"/>
          <w:sz w:val="24"/>
          <w:szCs w:val="24"/>
        </w:rPr>
      </w:pPr>
      <w:r w:rsidRPr="00D25040">
        <w:rPr>
          <w:color w:val="000000" w:themeColor="text1"/>
          <w:sz w:val="24"/>
          <w:szCs w:val="24"/>
        </w:rPr>
        <w:t xml:space="preserve">The </w:t>
      </w:r>
      <w:r w:rsidR="00E93A35" w:rsidRPr="00D25040">
        <w:rPr>
          <w:color w:val="000000" w:themeColor="text1"/>
          <w:sz w:val="24"/>
          <w:szCs w:val="24"/>
        </w:rPr>
        <w:t>statistical analysis was based on</w:t>
      </w:r>
      <w:r w:rsidRPr="00D25040">
        <w:rPr>
          <w:color w:val="000000" w:themeColor="text1"/>
          <w:sz w:val="24"/>
          <w:szCs w:val="24"/>
        </w:rPr>
        <w:t xml:space="preserve"> the Illinois Standards Achievement Test</w:t>
      </w:r>
      <w:r w:rsidR="00E93A35" w:rsidRPr="00D25040">
        <w:rPr>
          <w:color w:val="000000" w:themeColor="text1"/>
          <w:sz w:val="24"/>
          <w:szCs w:val="24"/>
        </w:rPr>
        <w:t xml:space="preserve"> scores</w:t>
      </w:r>
      <w:r w:rsidRPr="00D25040">
        <w:rPr>
          <w:color w:val="000000" w:themeColor="text1"/>
          <w:sz w:val="24"/>
          <w:szCs w:val="24"/>
        </w:rPr>
        <w:t xml:space="preserve">. </w:t>
      </w:r>
      <w:r w:rsidR="00E93A35" w:rsidRPr="00D25040">
        <w:rPr>
          <w:color w:val="000000" w:themeColor="text1"/>
          <w:sz w:val="24"/>
          <w:szCs w:val="24"/>
        </w:rPr>
        <w:t>Kohn (2000</w:t>
      </w:r>
      <w:r w:rsidR="00E17799" w:rsidRPr="00D25040">
        <w:rPr>
          <w:color w:val="000000" w:themeColor="text1"/>
          <w:sz w:val="24"/>
          <w:szCs w:val="24"/>
        </w:rPr>
        <w:t>, p. 5</w:t>
      </w:r>
      <w:r w:rsidR="00E93A35" w:rsidRPr="00D25040">
        <w:rPr>
          <w:color w:val="000000" w:themeColor="text1"/>
          <w:sz w:val="24"/>
          <w:szCs w:val="24"/>
        </w:rPr>
        <w:t xml:space="preserve">) argues </w:t>
      </w:r>
      <w:r w:rsidRPr="00D25040">
        <w:rPr>
          <w:color w:val="000000" w:themeColor="text1"/>
          <w:sz w:val="24"/>
          <w:szCs w:val="24"/>
        </w:rPr>
        <w:t>that a single achievement test is not the best indicator of a student’s knowledge and whether deep understanding was accomplishe</w:t>
      </w:r>
      <w:r w:rsidR="00E93A35" w:rsidRPr="00D25040">
        <w:rPr>
          <w:color w:val="000000" w:themeColor="text1"/>
          <w:sz w:val="24"/>
          <w:szCs w:val="24"/>
        </w:rPr>
        <w:t>d. A student can randomly guess answers or the student might not have an interest in doing well on the test. Having the students complete</w:t>
      </w:r>
      <w:r w:rsidRPr="00D25040">
        <w:rPr>
          <w:color w:val="000000" w:themeColor="text1"/>
          <w:sz w:val="24"/>
          <w:szCs w:val="24"/>
        </w:rPr>
        <w:t xml:space="preserve"> a performance task as well as the achievement test would be a better determiner of the best method of instruction. E</w:t>
      </w:r>
      <w:r w:rsidR="004E1A42" w:rsidRPr="00D25040">
        <w:rPr>
          <w:color w:val="000000" w:themeColor="text1"/>
          <w:sz w:val="24"/>
          <w:szCs w:val="24"/>
        </w:rPr>
        <w:t>ssentially, the researchers were</w:t>
      </w:r>
      <w:r w:rsidRPr="00D25040">
        <w:rPr>
          <w:color w:val="000000" w:themeColor="text1"/>
          <w:sz w:val="24"/>
          <w:szCs w:val="24"/>
        </w:rPr>
        <w:t xml:space="preserve"> expecting the constructivist learner to be </w:t>
      </w:r>
      <w:r w:rsidR="003C18B8">
        <w:rPr>
          <w:color w:val="000000" w:themeColor="text1"/>
          <w:sz w:val="24"/>
          <w:szCs w:val="24"/>
        </w:rPr>
        <w:t xml:space="preserve">more </w:t>
      </w:r>
      <w:r w:rsidRPr="00D25040">
        <w:rPr>
          <w:color w:val="000000" w:themeColor="text1"/>
          <w:sz w:val="24"/>
          <w:szCs w:val="24"/>
        </w:rPr>
        <w:t>successful on a traditional style of exam</w:t>
      </w:r>
      <w:r w:rsidR="003C18B8">
        <w:rPr>
          <w:color w:val="000000" w:themeColor="text1"/>
          <w:sz w:val="24"/>
          <w:szCs w:val="24"/>
        </w:rPr>
        <w:t xml:space="preserve"> but those results did not appear</w:t>
      </w:r>
      <w:r w:rsidRPr="00D25040">
        <w:rPr>
          <w:color w:val="000000" w:themeColor="text1"/>
          <w:sz w:val="24"/>
          <w:szCs w:val="24"/>
        </w:rPr>
        <w:t>.</w:t>
      </w:r>
    </w:p>
    <w:p w14:paraId="193FE958" w14:textId="61E50B2C" w:rsidR="004E1A42" w:rsidRPr="00D25040" w:rsidRDefault="004E1A42" w:rsidP="004C6940">
      <w:pPr>
        <w:spacing w:line="480" w:lineRule="auto"/>
        <w:rPr>
          <w:color w:val="000000" w:themeColor="text1"/>
          <w:sz w:val="24"/>
          <w:szCs w:val="24"/>
        </w:rPr>
      </w:pPr>
      <w:r w:rsidRPr="00D25040">
        <w:rPr>
          <w:color w:val="000000" w:themeColor="text1"/>
          <w:sz w:val="24"/>
          <w:szCs w:val="24"/>
        </w:rPr>
        <w:tab/>
      </w:r>
      <w:r w:rsidR="00E17799" w:rsidRPr="00D25040">
        <w:rPr>
          <w:color w:val="000000" w:themeColor="text1"/>
          <w:sz w:val="24"/>
          <w:szCs w:val="24"/>
        </w:rPr>
        <w:t>The researchers</w:t>
      </w:r>
      <w:r w:rsidRPr="00D25040">
        <w:rPr>
          <w:color w:val="000000" w:themeColor="text1"/>
          <w:sz w:val="24"/>
          <w:szCs w:val="24"/>
        </w:rPr>
        <w:t xml:space="preserve"> encouraged future researchers to analyze other grade levels for differe</w:t>
      </w:r>
      <w:r w:rsidR="00E17799" w:rsidRPr="00D25040">
        <w:rPr>
          <w:color w:val="000000" w:themeColor="text1"/>
          <w:sz w:val="24"/>
          <w:szCs w:val="24"/>
        </w:rPr>
        <w:t>nt teaching methods. They also pointed out that</w:t>
      </w:r>
      <w:r w:rsidRPr="00D25040">
        <w:rPr>
          <w:color w:val="000000" w:themeColor="text1"/>
          <w:sz w:val="24"/>
          <w:szCs w:val="24"/>
        </w:rPr>
        <w:t xml:space="preserve"> teachers using the constructivist teaching styles were not closely monitored. Whether the </w:t>
      </w:r>
      <w:r w:rsidR="00727535" w:rsidRPr="00D25040">
        <w:rPr>
          <w:color w:val="000000" w:themeColor="text1"/>
          <w:sz w:val="24"/>
          <w:szCs w:val="24"/>
        </w:rPr>
        <w:t xml:space="preserve">execution of the constructivist lessons was given properly was not confirmed. </w:t>
      </w:r>
      <w:r w:rsidR="00BA7535" w:rsidRPr="00D25040">
        <w:rPr>
          <w:color w:val="000000" w:themeColor="text1"/>
          <w:sz w:val="24"/>
          <w:szCs w:val="24"/>
        </w:rPr>
        <w:t xml:space="preserve">Much of the information researched by Grady, </w:t>
      </w:r>
      <w:r w:rsidR="003C18B8">
        <w:rPr>
          <w:color w:val="000000" w:themeColor="text1"/>
          <w:sz w:val="24"/>
          <w:szCs w:val="24"/>
        </w:rPr>
        <w:t>et al</w:t>
      </w:r>
      <w:r w:rsidR="00BA7535" w:rsidRPr="00D25040">
        <w:rPr>
          <w:color w:val="000000" w:themeColor="text1"/>
          <w:sz w:val="24"/>
          <w:szCs w:val="24"/>
        </w:rPr>
        <w:t>(2012) can be translated to a rural Alberta setting.</w:t>
      </w:r>
    </w:p>
    <w:p w14:paraId="38F0897B" w14:textId="1BC9D85F" w:rsidR="00BA7535" w:rsidRPr="00D25040" w:rsidRDefault="00BA7535" w:rsidP="004C6940">
      <w:pPr>
        <w:spacing w:line="480" w:lineRule="auto"/>
        <w:rPr>
          <w:b/>
          <w:color w:val="000000" w:themeColor="text1"/>
          <w:sz w:val="24"/>
          <w:szCs w:val="24"/>
        </w:rPr>
      </w:pPr>
      <w:r w:rsidRPr="00D25040">
        <w:rPr>
          <w:b/>
          <w:color w:val="000000" w:themeColor="text1"/>
          <w:sz w:val="24"/>
          <w:szCs w:val="24"/>
        </w:rPr>
        <w:t>All Hands on Deck</w:t>
      </w:r>
    </w:p>
    <w:p w14:paraId="7ED71191" w14:textId="2AEA8D39" w:rsidR="00BA7535" w:rsidRPr="00D25040" w:rsidRDefault="00BA7535" w:rsidP="004C6940">
      <w:pPr>
        <w:spacing w:line="480" w:lineRule="auto"/>
        <w:rPr>
          <w:color w:val="000000" w:themeColor="text1"/>
          <w:sz w:val="24"/>
          <w:szCs w:val="24"/>
        </w:rPr>
      </w:pPr>
      <w:r w:rsidRPr="00D25040">
        <w:rPr>
          <w:color w:val="000000" w:themeColor="text1"/>
          <w:sz w:val="24"/>
          <w:szCs w:val="24"/>
        </w:rPr>
        <w:tab/>
        <w:t xml:space="preserve">In order to close the grade discrepancy between the United States of America and similar countries in the math and science fields </w:t>
      </w:r>
      <w:r w:rsidR="0096134F" w:rsidRPr="00D25040">
        <w:rPr>
          <w:color w:val="000000" w:themeColor="text1"/>
          <w:sz w:val="24"/>
          <w:szCs w:val="24"/>
        </w:rPr>
        <w:t xml:space="preserve">effective </w:t>
      </w:r>
      <w:r w:rsidRPr="00D25040">
        <w:rPr>
          <w:color w:val="000000" w:themeColor="text1"/>
          <w:sz w:val="24"/>
          <w:szCs w:val="24"/>
        </w:rPr>
        <w:t>instructional leadership is necessary</w:t>
      </w:r>
      <w:r w:rsidR="0096134F" w:rsidRPr="00D25040">
        <w:rPr>
          <w:color w:val="000000" w:themeColor="text1"/>
          <w:sz w:val="24"/>
          <w:szCs w:val="24"/>
        </w:rPr>
        <w:t xml:space="preserve"> (Leithwood, Louis, Anderson, &amp; Wahlstrom</w:t>
      </w:r>
      <w:r w:rsidR="003C18B8">
        <w:rPr>
          <w:color w:val="000000" w:themeColor="text1"/>
          <w:sz w:val="24"/>
          <w:szCs w:val="24"/>
        </w:rPr>
        <w:t>, 2004</w:t>
      </w:r>
      <w:r w:rsidR="0096134F" w:rsidRPr="00D25040">
        <w:rPr>
          <w:color w:val="000000" w:themeColor="text1"/>
          <w:sz w:val="24"/>
          <w:szCs w:val="24"/>
        </w:rPr>
        <w:t>)</w:t>
      </w:r>
      <w:r w:rsidRPr="00D25040">
        <w:rPr>
          <w:color w:val="000000" w:themeColor="text1"/>
          <w:sz w:val="24"/>
          <w:szCs w:val="24"/>
        </w:rPr>
        <w:t>. This requires principals to make the shift from a building administrator to a leader of learning</w:t>
      </w:r>
      <w:r w:rsidR="00CA052E" w:rsidRPr="00D25040">
        <w:rPr>
          <w:color w:val="000000" w:themeColor="text1"/>
          <w:sz w:val="24"/>
          <w:szCs w:val="24"/>
        </w:rPr>
        <w:t xml:space="preserve">. Principals are involved in the development, implementation, and data analysis of </w:t>
      </w:r>
      <w:r w:rsidR="00E17799" w:rsidRPr="00D25040">
        <w:rPr>
          <w:color w:val="000000" w:themeColor="text1"/>
          <w:sz w:val="24"/>
          <w:szCs w:val="24"/>
        </w:rPr>
        <w:t xml:space="preserve">student results on </w:t>
      </w:r>
      <w:r w:rsidR="00CA052E" w:rsidRPr="00D25040">
        <w:rPr>
          <w:color w:val="000000" w:themeColor="text1"/>
          <w:sz w:val="24"/>
          <w:szCs w:val="24"/>
        </w:rPr>
        <w:t xml:space="preserve">formative </w:t>
      </w:r>
      <w:r w:rsidR="00E17799" w:rsidRPr="00D25040">
        <w:rPr>
          <w:color w:val="000000" w:themeColor="text1"/>
          <w:sz w:val="24"/>
          <w:szCs w:val="24"/>
        </w:rPr>
        <w:t xml:space="preserve">and summative </w:t>
      </w:r>
      <w:r w:rsidR="00CA052E" w:rsidRPr="00D25040">
        <w:rPr>
          <w:color w:val="000000" w:themeColor="text1"/>
          <w:sz w:val="24"/>
          <w:szCs w:val="24"/>
        </w:rPr>
        <w:t xml:space="preserve">assessments </w:t>
      </w:r>
      <w:r w:rsidRPr="00D25040">
        <w:rPr>
          <w:color w:val="000000" w:themeColor="text1"/>
          <w:sz w:val="24"/>
          <w:szCs w:val="24"/>
        </w:rPr>
        <w:t>(Brookhart &amp; Moss, 2012).</w:t>
      </w:r>
      <w:r w:rsidR="00CE7A88" w:rsidRPr="00D25040">
        <w:rPr>
          <w:color w:val="000000" w:themeColor="text1"/>
          <w:sz w:val="24"/>
          <w:szCs w:val="24"/>
        </w:rPr>
        <w:t xml:space="preserve"> </w:t>
      </w:r>
      <w:r w:rsidR="00CA052E" w:rsidRPr="00D25040">
        <w:rPr>
          <w:color w:val="000000" w:themeColor="text1"/>
          <w:sz w:val="24"/>
          <w:szCs w:val="24"/>
        </w:rPr>
        <w:t>Instructional leaders help teachers define what adequate content is and how to teach the key content at each grade level (Lochmiller, Huggins, &amp; Acker-Hocevar).</w:t>
      </w:r>
      <w:r w:rsidR="00752549" w:rsidRPr="00D25040">
        <w:rPr>
          <w:color w:val="000000" w:themeColor="text1"/>
          <w:sz w:val="24"/>
          <w:szCs w:val="24"/>
        </w:rPr>
        <w:t xml:space="preserve"> Instructional leaders also need to encourage exploration through inquiry-based learning and project based learning (van Zee, 2010). </w:t>
      </w:r>
      <w:r w:rsidR="008A3481" w:rsidRPr="00D25040">
        <w:rPr>
          <w:color w:val="000000" w:themeColor="text1"/>
          <w:sz w:val="24"/>
          <w:szCs w:val="24"/>
        </w:rPr>
        <w:t>Authentic inquiry-based learning can</w:t>
      </w:r>
      <w:r w:rsidR="002A4421" w:rsidRPr="00D25040">
        <w:rPr>
          <w:color w:val="000000" w:themeColor="text1"/>
          <w:sz w:val="24"/>
          <w:szCs w:val="24"/>
        </w:rPr>
        <w:t xml:space="preserve"> be</w:t>
      </w:r>
      <w:r w:rsidR="008A3481" w:rsidRPr="00D25040">
        <w:rPr>
          <w:color w:val="000000" w:themeColor="text1"/>
          <w:sz w:val="24"/>
          <w:szCs w:val="24"/>
        </w:rPr>
        <w:t xml:space="preserve"> created within professional learning communities (Stoll &amp; Louis, 2007).</w:t>
      </w:r>
      <w:r w:rsidR="008D44D9" w:rsidRPr="00D25040">
        <w:rPr>
          <w:color w:val="000000" w:themeColor="text1"/>
          <w:sz w:val="24"/>
          <w:szCs w:val="24"/>
        </w:rPr>
        <w:t xml:space="preserve"> Professional learning communities encourage collaboration and collective responsibility which in turn maximizes the value of the lessons and projects created to encourage inquiry-based learning.</w:t>
      </w:r>
    </w:p>
    <w:p w14:paraId="5C8011A9" w14:textId="2C4F8D0F" w:rsidR="0094631C" w:rsidRPr="00D25040" w:rsidRDefault="0094631C" w:rsidP="004C6940">
      <w:pPr>
        <w:spacing w:line="480" w:lineRule="auto"/>
        <w:rPr>
          <w:color w:val="000000" w:themeColor="text1"/>
          <w:sz w:val="24"/>
          <w:szCs w:val="24"/>
        </w:rPr>
      </w:pPr>
      <w:r w:rsidRPr="00D25040">
        <w:rPr>
          <w:color w:val="000000" w:themeColor="text1"/>
          <w:sz w:val="24"/>
          <w:szCs w:val="24"/>
        </w:rPr>
        <w:tab/>
      </w:r>
      <w:r w:rsidR="002A4421" w:rsidRPr="00D25040">
        <w:rPr>
          <w:color w:val="000000" w:themeColor="text1"/>
          <w:sz w:val="24"/>
          <w:szCs w:val="24"/>
        </w:rPr>
        <w:t>Promoting professional development and networking among staff can enhance lesson creation by sharing resources and engaging in professional conversations</w:t>
      </w:r>
      <w:r w:rsidRPr="00D25040">
        <w:rPr>
          <w:color w:val="000000" w:themeColor="text1"/>
          <w:sz w:val="24"/>
          <w:szCs w:val="24"/>
        </w:rPr>
        <w:t xml:space="preserve"> (Lochmiller, Huggins, &amp; Acker-Hocevar). To create meaningful learning experiences instructional leaders can provide opportunities for teachers to connect with local businesses to gain resources and up to date information in the field (Lochmiller, Huggins, &amp; Acker-Hocevar). Although the </w:t>
      </w:r>
      <w:r w:rsidR="001C2FD5" w:rsidRPr="00D25040">
        <w:rPr>
          <w:color w:val="000000" w:themeColor="text1"/>
          <w:sz w:val="24"/>
          <w:szCs w:val="24"/>
        </w:rPr>
        <w:t>options are all viable and make sense when discussing ways to increase how to incorporate inquiry-based learning in the classroom by involving administration to be instructional leaders there are many implications to consider. The expectations of principals are</w:t>
      </w:r>
      <w:r w:rsidR="005421AC" w:rsidRPr="00D25040">
        <w:rPr>
          <w:color w:val="000000" w:themeColor="text1"/>
          <w:sz w:val="24"/>
          <w:szCs w:val="24"/>
        </w:rPr>
        <w:t xml:space="preserve"> high and their agendas are</w:t>
      </w:r>
      <w:r w:rsidR="001C2FD5" w:rsidRPr="00D25040">
        <w:rPr>
          <w:color w:val="000000" w:themeColor="text1"/>
          <w:sz w:val="24"/>
          <w:szCs w:val="24"/>
        </w:rPr>
        <w:t xml:space="preserve"> full. However, teaching content should be made a priority. All of the other administrative duties that need to be accomplished in a school need to be spread throughout the entire school to shift the focus on meaningful and original learning experiences</w:t>
      </w:r>
      <w:r w:rsidR="005421AC" w:rsidRPr="00D25040">
        <w:rPr>
          <w:color w:val="000000" w:themeColor="text1"/>
          <w:sz w:val="24"/>
          <w:szCs w:val="24"/>
        </w:rPr>
        <w:t>.</w:t>
      </w:r>
      <w:r w:rsidR="001C2FD5" w:rsidRPr="00D25040">
        <w:rPr>
          <w:color w:val="000000" w:themeColor="text1"/>
          <w:sz w:val="24"/>
          <w:szCs w:val="24"/>
        </w:rPr>
        <w:t xml:space="preserve"> Ultimately, this shift will increase student achievement and engagement when inquiry learning is the focus by all members of a school.</w:t>
      </w:r>
      <w:r w:rsidR="005421AC" w:rsidRPr="00D25040">
        <w:rPr>
          <w:color w:val="000000" w:themeColor="text1"/>
          <w:sz w:val="24"/>
          <w:szCs w:val="24"/>
        </w:rPr>
        <w:t xml:space="preserve"> (Lochmiller, Huggins, &amp; Acker-Hocevar).</w:t>
      </w:r>
    </w:p>
    <w:p w14:paraId="06590227" w14:textId="03388F50" w:rsidR="00706DE7" w:rsidRPr="00D25040" w:rsidRDefault="00706DE7" w:rsidP="004C6940">
      <w:pPr>
        <w:spacing w:line="480" w:lineRule="auto"/>
        <w:rPr>
          <w:color w:val="000000" w:themeColor="text1"/>
          <w:sz w:val="24"/>
          <w:szCs w:val="24"/>
        </w:rPr>
      </w:pPr>
      <w:r w:rsidRPr="00D25040">
        <w:rPr>
          <w:color w:val="000000" w:themeColor="text1"/>
          <w:sz w:val="24"/>
          <w:szCs w:val="24"/>
        </w:rPr>
        <w:tab/>
      </w:r>
      <w:r w:rsidR="005421AC" w:rsidRPr="00D25040">
        <w:rPr>
          <w:color w:val="000000" w:themeColor="text1"/>
          <w:sz w:val="24"/>
          <w:szCs w:val="24"/>
        </w:rPr>
        <w:t xml:space="preserve">Wagner &amp; Kegan, 2006 </w:t>
      </w:r>
      <w:r w:rsidR="003C18B8">
        <w:rPr>
          <w:color w:val="000000" w:themeColor="text1"/>
          <w:sz w:val="24"/>
          <w:szCs w:val="24"/>
        </w:rPr>
        <w:t xml:space="preserve">suggest that </w:t>
      </w:r>
      <w:r w:rsidR="005421AC" w:rsidRPr="00D25040">
        <w:rPr>
          <w:color w:val="000000" w:themeColor="text1"/>
          <w:sz w:val="24"/>
          <w:szCs w:val="24"/>
        </w:rPr>
        <w:t>o</w:t>
      </w:r>
      <w:r w:rsidRPr="00D25040">
        <w:rPr>
          <w:color w:val="000000" w:themeColor="text1"/>
          <w:sz w:val="24"/>
          <w:szCs w:val="24"/>
        </w:rPr>
        <w:t xml:space="preserve">ne way to achieve successful academic results for a school is for school leaders and teachers to focus on relationships, relevance, and rigor in the classroom. To have rigor in the deliver the curricular content in an organized fashion where all students are challenged and </w:t>
      </w:r>
      <w:r w:rsidR="00F20C55" w:rsidRPr="00D25040">
        <w:rPr>
          <w:color w:val="000000" w:themeColor="text1"/>
          <w:sz w:val="24"/>
          <w:szCs w:val="24"/>
        </w:rPr>
        <w:t>relationships be</w:t>
      </w:r>
      <w:r w:rsidR="005421AC" w:rsidRPr="00D25040">
        <w:rPr>
          <w:color w:val="000000" w:themeColor="text1"/>
          <w:sz w:val="24"/>
          <w:szCs w:val="24"/>
        </w:rPr>
        <w:t xml:space="preserve">tween complex ideas are created. </w:t>
      </w:r>
      <w:r w:rsidR="00F20C55" w:rsidRPr="00D25040">
        <w:rPr>
          <w:color w:val="000000" w:themeColor="text1"/>
          <w:sz w:val="24"/>
          <w:szCs w:val="24"/>
        </w:rPr>
        <w:t>Incorporating rigor into the classroom requires the teacher to have a strong knowledge base of the content and is comfortable challenging and holding students accountable. Moreover, creating lessons and situations that are relevant to the students is necessary for clear and deep understanding of the curriculum. Creating relevant lessons means that students ar</w:t>
      </w:r>
      <w:r w:rsidR="005421AC" w:rsidRPr="00D25040">
        <w:rPr>
          <w:color w:val="000000" w:themeColor="text1"/>
          <w:sz w:val="24"/>
          <w:szCs w:val="24"/>
        </w:rPr>
        <w:t xml:space="preserve">e able to answer the question, </w:t>
      </w:r>
      <w:r w:rsidR="00F20C55" w:rsidRPr="00D25040">
        <w:rPr>
          <w:i/>
          <w:color w:val="000000" w:themeColor="text1"/>
          <w:sz w:val="24"/>
          <w:szCs w:val="24"/>
        </w:rPr>
        <w:t>Why is thi</w:t>
      </w:r>
      <w:r w:rsidR="005421AC" w:rsidRPr="00D25040">
        <w:rPr>
          <w:i/>
          <w:color w:val="000000" w:themeColor="text1"/>
          <w:sz w:val="24"/>
          <w:szCs w:val="24"/>
        </w:rPr>
        <w:t xml:space="preserve">s concept important and useful? </w:t>
      </w:r>
      <w:r w:rsidR="00F20C55" w:rsidRPr="00D25040">
        <w:rPr>
          <w:color w:val="000000" w:themeColor="text1"/>
          <w:sz w:val="24"/>
          <w:szCs w:val="24"/>
        </w:rPr>
        <w:t>Lastly, creating solid relationships with students should be a teacher’s main objective. When</w:t>
      </w:r>
      <w:r w:rsidR="006D552D" w:rsidRPr="00D25040">
        <w:rPr>
          <w:color w:val="000000" w:themeColor="text1"/>
          <w:sz w:val="24"/>
          <w:szCs w:val="24"/>
        </w:rPr>
        <w:t xml:space="preserve"> a respectful relationship b</w:t>
      </w:r>
      <w:r w:rsidR="005421AC" w:rsidRPr="00D25040">
        <w:rPr>
          <w:color w:val="000000" w:themeColor="text1"/>
          <w:sz w:val="24"/>
          <w:szCs w:val="24"/>
        </w:rPr>
        <w:t>etween students and teachers is</w:t>
      </w:r>
      <w:r w:rsidR="006D552D" w:rsidRPr="00D25040">
        <w:rPr>
          <w:color w:val="000000" w:themeColor="text1"/>
          <w:sz w:val="24"/>
          <w:szCs w:val="24"/>
        </w:rPr>
        <w:t xml:space="preserve"> created it is easie</w:t>
      </w:r>
      <w:r w:rsidR="005421AC" w:rsidRPr="00D25040">
        <w:rPr>
          <w:color w:val="000000" w:themeColor="text1"/>
          <w:sz w:val="24"/>
          <w:szCs w:val="24"/>
        </w:rPr>
        <w:t xml:space="preserve">r for a teacher to motivate his or </w:t>
      </w:r>
      <w:r w:rsidR="006D552D" w:rsidRPr="00D25040">
        <w:rPr>
          <w:color w:val="000000" w:themeColor="text1"/>
          <w:sz w:val="24"/>
          <w:szCs w:val="24"/>
        </w:rPr>
        <w:t>her students (Wagner &amp; Kegan, 2006). Also, when teach</w:t>
      </w:r>
      <w:r w:rsidR="005421AC" w:rsidRPr="00D25040">
        <w:rPr>
          <w:color w:val="000000" w:themeColor="text1"/>
          <w:sz w:val="24"/>
          <w:szCs w:val="24"/>
        </w:rPr>
        <w:t>ers make connections with thei</w:t>
      </w:r>
      <w:r w:rsidR="006D552D" w:rsidRPr="00D25040">
        <w:rPr>
          <w:color w:val="000000" w:themeColor="text1"/>
          <w:sz w:val="24"/>
          <w:szCs w:val="24"/>
        </w:rPr>
        <w:t>r students it means that teachers can create problems that are appropriate for student’s interests and ability le</w:t>
      </w:r>
      <w:r w:rsidR="005421AC" w:rsidRPr="00D25040">
        <w:rPr>
          <w:color w:val="000000" w:themeColor="text1"/>
          <w:sz w:val="24"/>
          <w:szCs w:val="24"/>
        </w:rPr>
        <w:t>vel (Silver et al., 2009)  Silver et al.</w:t>
      </w:r>
      <w:r w:rsidR="006D552D" w:rsidRPr="00D25040">
        <w:rPr>
          <w:color w:val="000000" w:themeColor="text1"/>
          <w:sz w:val="24"/>
          <w:szCs w:val="24"/>
        </w:rPr>
        <w:t xml:space="preserve"> also argued that respectful relationships among students in a classroom should be promoted. When students interact and communicate about the content it creates an environment where students can work through complex an</w:t>
      </w:r>
      <w:r w:rsidR="005421AC" w:rsidRPr="00D25040">
        <w:rPr>
          <w:color w:val="000000" w:themeColor="text1"/>
          <w:sz w:val="24"/>
          <w:szCs w:val="24"/>
        </w:rPr>
        <w:t>d discovery tasks cooperatively.</w:t>
      </w:r>
    </w:p>
    <w:p w14:paraId="2B0B55F4" w14:textId="662DA296" w:rsidR="00D905F1" w:rsidRPr="00D25040" w:rsidRDefault="00D905F1" w:rsidP="004C6940">
      <w:pPr>
        <w:spacing w:line="480" w:lineRule="auto"/>
        <w:rPr>
          <w:b/>
          <w:color w:val="000000" w:themeColor="text1"/>
          <w:sz w:val="24"/>
          <w:szCs w:val="24"/>
        </w:rPr>
      </w:pPr>
      <w:r w:rsidRPr="00D25040">
        <w:rPr>
          <w:b/>
          <w:color w:val="000000" w:themeColor="text1"/>
          <w:sz w:val="24"/>
          <w:szCs w:val="24"/>
        </w:rPr>
        <w:t>Summary</w:t>
      </w:r>
    </w:p>
    <w:p w14:paraId="4FC913B5" w14:textId="300C9049" w:rsidR="00D25040" w:rsidRPr="00D25040" w:rsidRDefault="00D905F1" w:rsidP="004C6940">
      <w:pPr>
        <w:spacing w:line="480" w:lineRule="auto"/>
        <w:rPr>
          <w:color w:val="000000" w:themeColor="text1"/>
          <w:sz w:val="24"/>
          <w:szCs w:val="24"/>
        </w:rPr>
      </w:pPr>
      <w:r w:rsidRPr="00D25040">
        <w:rPr>
          <w:color w:val="000000" w:themeColor="text1"/>
          <w:sz w:val="24"/>
          <w:szCs w:val="24"/>
        </w:rPr>
        <w:tab/>
        <w:t xml:space="preserve">Inquiry-based learning and traditional </w:t>
      </w:r>
      <w:r w:rsidR="00B01EB3" w:rsidRPr="00D25040">
        <w:rPr>
          <w:color w:val="000000" w:themeColor="text1"/>
          <w:sz w:val="24"/>
          <w:szCs w:val="24"/>
        </w:rPr>
        <w:t>teaching methods have</w:t>
      </w:r>
      <w:r w:rsidRPr="00D25040">
        <w:rPr>
          <w:color w:val="000000" w:themeColor="text1"/>
          <w:sz w:val="24"/>
          <w:szCs w:val="24"/>
        </w:rPr>
        <w:t xml:space="preserve"> been explored and compared by multiple researchers. There has yet to be a distinct decision regarding which is the best method to date. However, it is clear that if executed correctly by implementing inquiry-based learning</w:t>
      </w:r>
      <w:r w:rsidR="00B01EB3" w:rsidRPr="00D25040">
        <w:rPr>
          <w:color w:val="000000" w:themeColor="text1"/>
          <w:sz w:val="24"/>
          <w:szCs w:val="24"/>
        </w:rPr>
        <w:t xml:space="preserve"> has the potential to increase student learning</w:t>
      </w:r>
      <w:r w:rsidRPr="00D25040">
        <w:rPr>
          <w:color w:val="000000" w:themeColor="text1"/>
          <w:sz w:val="24"/>
          <w:szCs w:val="24"/>
        </w:rPr>
        <w:t xml:space="preserve"> </w:t>
      </w:r>
      <w:r w:rsidR="00B01EB3" w:rsidRPr="00D25040">
        <w:rPr>
          <w:color w:val="000000" w:themeColor="text1"/>
          <w:sz w:val="24"/>
          <w:szCs w:val="24"/>
        </w:rPr>
        <w:t>by</w:t>
      </w:r>
      <w:r w:rsidRPr="00D25040">
        <w:rPr>
          <w:color w:val="000000" w:themeColor="text1"/>
          <w:sz w:val="24"/>
          <w:szCs w:val="24"/>
        </w:rPr>
        <w:t xml:space="preserve"> creating a</w:t>
      </w:r>
      <w:r w:rsidR="00B01EB3" w:rsidRPr="00D25040">
        <w:rPr>
          <w:color w:val="000000" w:themeColor="text1"/>
          <w:sz w:val="24"/>
          <w:szCs w:val="24"/>
        </w:rPr>
        <w:t xml:space="preserve">uthentic learning experiences </w:t>
      </w:r>
      <w:r w:rsidRPr="00D25040">
        <w:rPr>
          <w:color w:val="000000" w:themeColor="text1"/>
          <w:sz w:val="24"/>
          <w:szCs w:val="24"/>
        </w:rPr>
        <w:t>and being mindful of student e</w:t>
      </w:r>
      <w:r w:rsidR="00B01EB3" w:rsidRPr="00D25040">
        <w:rPr>
          <w:color w:val="000000" w:themeColor="text1"/>
          <w:sz w:val="24"/>
          <w:szCs w:val="24"/>
        </w:rPr>
        <w:t>ngagement</w:t>
      </w:r>
      <w:r w:rsidRPr="00D25040">
        <w:rPr>
          <w:color w:val="000000" w:themeColor="text1"/>
          <w:sz w:val="24"/>
          <w:szCs w:val="24"/>
        </w:rPr>
        <w:t>. The creation and implementation cannot be created by a single teacher</w:t>
      </w:r>
      <w:r w:rsidR="00B01EB3" w:rsidRPr="00D25040">
        <w:rPr>
          <w:color w:val="000000" w:themeColor="text1"/>
          <w:sz w:val="24"/>
          <w:szCs w:val="24"/>
        </w:rPr>
        <w:t>. A</w:t>
      </w:r>
      <w:r w:rsidRPr="00D25040">
        <w:rPr>
          <w:color w:val="000000" w:themeColor="text1"/>
          <w:sz w:val="24"/>
          <w:szCs w:val="24"/>
        </w:rPr>
        <w:t xml:space="preserve"> professional learning community has to be involved. Teaching is not a singular profession and this has to be understood by students, teacher</w:t>
      </w:r>
      <w:r w:rsidR="00B01EB3" w:rsidRPr="00D25040">
        <w:rPr>
          <w:color w:val="000000" w:themeColor="text1"/>
          <w:sz w:val="24"/>
          <w:szCs w:val="24"/>
        </w:rPr>
        <w:t>s</w:t>
      </w:r>
      <w:r w:rsidRPr="00D25040">
        <w:rPr>
          <w:color w:val="000000" w:themeColor="text1"/>
          <w:sz w:val="24"/>
          <w:szCs w:val="24"/>
        </w:rPr>
        <w:t>, and administration.</w:t>
      </w:r>
      <w:r w:rsidR="006D552D" w:rsidRPr="00D25040">
        <w:rPr>
          <w:color w:val="000000" w:themeColor="text1"/>
          <w:sz w:val="24"/>
          <w:szCs w:val="24"/>
        </w:rPr>
        <w:t xml:space="preserve"> Throughout most of the research there has been a common theme that if the students are engaged</w:t>
      </w:r>
      <w:r w:rsidR="00B01EB3" w:rsidRPr="00D25040">
        <w:rPr>
          <w:color w:val="000000" w:themeColor="text1"/>
          <w:sz w:val="24"/>
          <w:szCs w:val="24"/>
        </w:rPr>
        <w:t xml:space="preserve"> in problems that interest them</w:t>
      </w:r>
      <w:r w:rsidR="006D552D" w:rsidRPr="00D25040">
        <w:rPr>
          <w:color w:val="000000" w:themeColor="text1"/>
          <w:sz w:val="24"/>
          <w:szCs w:val="24"/>
        </w:rPr>
        <w:t xml:space="preserve"> will be more motivation to engage in the activity or lesson. Relating the content to the students is key.</w:t>
      </w:r>
    </w:p>
    <w:p w14:paraId="7BF63636" w14:textId="66832255" w:rsidR="00FF3848" w:rsidRPr="00D25040" w:rsidRDefault="00FF3848" w:rsidP="004C6940">
      <w:pPr>
        <w:spacing w:line="480" w:lineRule="auto"/>
        <w:jc w:val="center"/>
        <w:rPr>
          <w:color w:val="000000" w:themeColor="text1"/>
          <w:sz w:val="24"/>
          <w:szCs w:val="24"/>
        </w:rPr>
      </w:pPr>
      <w:r w:rsidRPr="00D25040">
        <w:rPr>
          <w:b/>
          <w:color w:val="000000" w:themeColor="text1"/>
          <w:sz w:val="24"/>
          <w:szCs w:val="24"/>
        </w:rPr>
        <w:t>Chapter III - Methodology</w:t>
      </w:r>
    </w:p>
    <w:p w14:paraId="2F8AACC1" w14:textId="3A4BF166" w:rsidR="00FF3848" w:rsidRPr="00D25040" w:rsidRDefault="00FF3848" w:rsidP="004C6940">
      <w:pPr>
        <w:spacing w:line="480" w:lineRule="auto"/>
        <w:ind w:firstLine="720"/>
        <w:rPr>
          <w:color w:val="000000" w:themeColor="text1"/>
          <w:sz w:val="24"/>
          <w:szCs w:val="24"/>
        </w:rPr>
      </w:pPr>
      <w:r w:rsidRPr="00D25040">
        <w:rPr>
          <w:color w:val="000000" w:themeColor="text1"/>
          <w:sz w:val="24"/>
          <w:szCs w:val="24"/>
        </w:rPr>
        <w:t>The following section discusses the methodology used to conduct the study</w:t>
      </w:r>
      <w:r w:rsidR="003C18B8">
        <w:rPr>
          <w:color w:val="000000" w:themeColor="text1"/>
          <w:sz w:val="24"/>
          <w:szCs w:val="24"/>
        </w:rPr>
        <w:t xml:space="preserve">. The purpose of this investigation is to determine how inquiry-based teaching methods affect various ability levels in a grade ten math classroom. </w:t>
      </w:r>
      <w:r w:rsidR="00EF7512">
        <w:rPr>
          <w:color w:val="000000" w:themeColor="text1"/>
          <w:sz w:val="24"/>
          <w:szCs w:val="24"/>
        </w:rPr>
        <w:t>The</w:t>
      </w:r>
      <w:r w:rsidR="0098004A">
        <w:rPr>
          <w:color w:val="000000" w:themeColor="text1"/>
          <w:sz w:val="24"/>
          <w:szCs w:val="24"/>
        </w:rPr>
        <w:t>se</w:t>
      </w:r>
      <w:r w:rsidR="00EF7512">
        <w:rPr>
          <w:color w:val="000000" w:themeColor="text1"/>
          <w:sz w:val="24"/>
          <w:szCs w:val="24"/>
        </w:rPr>
        <w:t xml:space="preserve"> data were</w:t>
      </w:r>
      <w:r w:rsidRPr="00D25040">
        <w:rPr>
          <w:color w:val="000000" w:themeColor="text1"/>
          <w:sz w:val="24"/>
          <w:szCs w:val="24"/>
        </w:rPr>
        <w:t xml:space="preserve"> reviewed both qualitatively and quantitatively. Field notes</w:t>
      </w:r>
      <w:r w:rsidR="00B01EB3" w:rsidRPr="00D25040">
        <w:rPr>
          <w:color w:val="000000" w:themeColor="text1"/>
          <w:sz w:val="24"/>
          <w:szCs w:val="24"/>
        </w:rPr>
        <w:t xml:space="preserve"> and student assessment data were</w:t>
      </w:r>
      <w:r w:rsidRPr="00D25040">
        <w:rPr>
          <w:color w:val="000000" w:themeColor="text1"/>
          <w:sz w:val="24"/>
          <w:szCs w:val="24"/>
        </w:rPr>
        <w:t xml:space="preserve"> examined to determine if inquiry-based teaching is an effective way to teach math ten students. Furthermore, the research question and hypothesis, the role of the researcher, the participants and the setting, rationale, limitations and delimitations, materials, design and procedure, and the instruments used will be explored in this chapter.</w:t>
      </w:r>
    </w:p>
    <w:p w14:paraId="76123AC2" w14:textId="77777777" w:rsidR="00FF3848" w:rsidRPr="00D25040" w:rsidRDefault="00FF3848" w:rsidP="004C6940">
      <w:pPr>
        <w:spacing w:line="480" w:lineRule="auto"/>
        <w:rPr>
          <w:b/>
          <w:color w:val="000000" w:themeColor="text1"/>
          <w:sz w:val="24"/>
          <w:szCs w:val="24"/>
        </w:rPr>
      </w:pPr>
      <w:r w:rsidRPr="00D25040">
        <w:rPr>
          <w:b/>
          <w:color w:val="000000" w:themeColor="text1"/>
          <w:sz w:val="24"/>
          <w:szCs w:val="24"/>
        </w:rPr>
        <w:t>Research Questions and Statement of Hypothesis</w:t>
      </w:r>
    </w:p>
    <w:p w14:paraId="149EE76D" w14:textId="68E9AA23" w:rsidR="00FD191B" w:rsidRPr="00D25040" w:rsidRDefault="00FD191B" w:rsidP="004C6940">
      <w:pPr>
        <w:spacing w:line="480" w:lineRule="auto"/>
        <w:ind w:firstLine="720"/>
        <w:rPr>
          <w:b/>
          <w:color w:val="000000" w:themeColor="text1"/>
          <w:sz w:val="24"/>
          <w:szCs w:val="24"/>
        </w:rPr>
      </w:pPr>
      <w:r w:rsidRPr="00D25040">
        <w:rPr>
          <w:color w:val="000000" w:themeColor="text1"/>
          <w:sz w:val="24"/>
          <w:szCs w:val="24"/>
        </w:rPr>
        <w:t>There has bee</w:t>
      </w:r>
      <w:r w:rsidR="00DC6D21" w:rsidRPr="00D25040">
        <w:rPr>
          <w:color w:val="000000" w:themeColor="text1"/>
          <w:sz w:val="24"/>
          <w:szCs w:val="24"/>
        </w:rPr>
        <w:t>n</w:t>
      </w:r>
      <w:r w:rsidRPr="00D25040">
        <w:rPr>
          <w:color w:val="000000" w:themeColor="text1"/>
          <w:sz w:val="24"/>
          <w:szCs w:val="24"/>
        </w:rPr>
        <w:t xml:space="preserve"> a push from Alberta Education to teach mathematics through inquiry-based teaching methods. The question that this study sought to answer is </w:t>
      </w:r>
      <w:r w:rsidR="00EF7512">
        <w:rPr>
          <w:color w:val="000000" w:themeColor="text1"/>
          <w:sz w:val="24"/>
          <w:szCs w:val="24"/>
        </w:rPr>
        <w:t>to determine how inquiry-based teaching methods affect various ability levels in a grade ten math classroom.</w:t>
      </w:r>
      <w:r w:rsidRPr="00D25040">
        <w:rPr>
          <w:color w:val="000000" w:themeColor="text1"/>
          <w:sz w:val="24"/>
          <w:szCs w:val="24"/>
        </w:rPr>
        <w:t xml:space="preserve"> It is predicted that </w:t>
      </w:r>
      <w:r w:rsidR="00DC6D21" w:rsidRPr="00D25040">
        <w:rPr>
          <w:color w:val="000000" w:themeColor="text1"/>
          <w:sz w:val="24"/>
          <w:szCs w:val="24"/>
        </w:rPr>
        <w:t>all students should learn best from the inquiry-based teaching methods and have a more in depth knowledge of the content.</w:t>
      </w:r>
      <w:r w:rsidRPr="00D25040">
        <w:rPr>
          <w:color w:val="000000" w:themeColor="text1"/>
          <w:sz w:val="24"/>
          <w:szCs w:val="24"/>
        </w:rPr>
        <w:t xml:space="preserve"> </w:t>
      </w:r>
    </w:p>
    <w:p w14:paraId="237FC41A" w14:textId="77777777" w:rsidR="00FF3848" w:rsidRPr="00D25040" w:rsidRDefault="00FF3848" w:rsidP="004C6940">
      <w:pPr>
        <w:spacing w:line="480" w:lineRule="auto"/>
        <w:rPr>
          <w:b/>
          <w:color w:val="000000" w:themeColor="text1"/>
          <w:sz w:val="24"/>
          <w:szCs w:val="24"/>
        </w:rPr>
      </w:pPr>
      <w:r w:rsidRPr="00D25040">
        <w:rPr>
          <w:b/>
          <w:color w:val="000000" w:themeColor="text1"/>
          <w:sz w:val="24"/>
          <w:szCs w:val="24"/>
        </w:rPr>
        <w:t xml:space="preserve">Participants and Setting </w:t>
      </w:r>
    </w:p>
    <w:p w14:paraId="4A658EAD" w14:textId="12E2C8C5" w:rsidR="0098004A" w:rsidRPr="0098004A" w:rsidRDefault="00FF3848" w:rsidP="0098004A">
      <w:pPr>
        <w:spacing w:line="480" w:lineRule="auto"/>
        <w:ind w:firstLine="720"/>
        <w:rPr>
          <w:color w:val="000000" w:themeColor="text1"/>
          <w:sz w:val="24"/>
          <w:szCs w:val="24"/>
        </w:rPr>
      </w:pPr>
      <w:r w:rsidRPr="00D25040">
        <w:rPr>
          <w:color w:val="000000" w:themeColor="text1"/>
          <w:sz w:val="24"/>
          <w:szCs w:val="24"/>
        </w:rPr>
        <w:t xml:space="preserve">The research was conducted at Notre Dame High School in Red Deer, Alberta. </w:t>
      </w:r>
      <w:r w:rsidR="00A42ACB">
        <w:rPr>
          <w:color w:val="000000" w:themeColor="text1"/>
          <w:sz w:val="24"/>
          <w:szCs w:val="24"/>
        </w:rPr>
        <w:t xml:space="preserve">Notre Dame High School is in the East side of Red Deer and has a population of 98, 585. </w:t>
      </w:r>
      <w:r w:rsidR="00B2618B">
        <w:rPr>
          <w:color w:val="000000" w:themeColor="text1"/>
          <w:sz w:val="24"/>
          <w:szCs w:val="24"/>
        </w:rPr>
        <w:t>Notre Dame is the only Catholic Hi</w:t>
      </w:r>
      <w:r w:rsidR="0098004A">
        <w:rPr>
          <w:color w:val="000000" w:themeColor="text1"/>
          <w:sz w:val="24"/>
          <w:szCs w:val="24"/>
        </w:rPr>
        <w:t>gh School in Red Deer;</w:t>
      </w:r>
      <w:r w:rsidR="00B2618B">
        <w:rPr>
          <w:color w:val="000000" w:themeColor="text1"/>
          <w:sz w:val="24"/>
          <w:szCs w:val="24"/>
        </w:rPr>
        <w:t xml:space="preserve"> drawing its students from all neighborhoods in the city. </w:t>
      </w:r>
      <w:r w:rsidRPr="00D25040">
        <w:rPr>
          <w:color w:val="000000" w:themeColor="text1"/>
          <w:sz w:val="24"/>
          <w:szCs w:val="24"/>
        </w:rPr>
        <w:t xml:space="preserve">The school has 1560 students from grade ten to twelve and there are 96 staff members at the school in total. The </w:t>
      </w:r>
      <w:r w:rsidR="00DA43EF" w:rsidRPr="00D25040">
        <w:rPr>
          <w:color w:val="000000" w:themeColor="text1"/>
          <w:sz w:val="24"/>
          <w:szCs w:val="24"/>
        </w:rPr>
        <w:t>participants</w:t>
      </w:r>
      <w:r w:rsidRPr="00D25040">
        <w:rPr>
          <w:color w:val="000000" w:themeColor="text1"/>
          <w:sz w:val="24"/>
          <w:szCs w:val="24"/>
        </w:rPr>
        <w:t xml:space="preserve"> of this study included</w:t>
      </w:r>
      <w:r w:rsidR="00B2618B">
        <w:rPr>
          <w:color w:val="000000" w:themeColor="text1"/>
          <w:sz w:val="24"/>
          <w:szCs w:val="24"/>
        </w:rPr>
        <w:t xml:space="preserve"> 15% of the students to be English language learners</w:t>
      </w:r>
      <w:r w:rsidR="00296CA0">
        <w:rPr>
          <w:color w:val="000000" w:themeColor="text1"/>
          <w:sz w:val="24"/>
          <w:szCs w:val="24"/>
        </w:rPr>
        <w:t>. One of the participants of this study had mosaic-down syndrome and was a mature student. This student was a part</w:t>
      </w:r>
      <w:r w:rsidR="0098004A">
        <w:rPr>
          <w:color w:val="000000" w:themeColor="text1"/>
          <w:sz w:val="24"/>
          <w:szCs w:val="24"/>
        </w:rPr>
        <w:t xml:space="preserve">icipant in </w:t>
      </w:r>
      <w:r w:rsidR="00296CA0">
        <w:rPr>
          <w:color w:val="000000" w:themeColor="text1"/>
          <w:sz w:val="24"/>
          <w:szCs w:val="24"/>
        </w:rPr>
        <w:t>the inquiry-based learning class.</w:t>
      </w:r>
    </w:p>
    <w:p w14:paraId="3CC9BD5C" w14:textId="77777777" w:rsidR="00FF3848" w:rsidRPr="00D25040" w:rsidRDefault="00FF3848" w:rsidP="004C6940">
      <w:pPr>
        <w:spacing w:line="480" w:lineRule="auto"/>
        <w:rPr>
          <w:b/>
          <w:color w:val="000000" w:themeColor="text1"/>
          <w:sz w:val="24"/>
          <w:szCs w:val="24"/>
        </w:rPr>
      </w:pPr>
      <w:r w:rsidRPr="00D25040">
        <w:rPr>
          <w:b/>
          <w:color w:val="000000" w:themeColor="text1"/>
          <w:sz w:val="24"/>
          <w:szCs w:val="24"/>
        </w:rPr>
        <w:t xml:space="preserve">Rationale </w:t>
      </w:r>
    </w:p>
    <w:p w14:paraId="227238DB" w14:textId="5D6A4F17" w:rsidR="00FF3848" w:rsidRPr="00D25040" w:rsidRDefault="00380FB6" w:rsidP="004C6940">
      <w:pPr>
        <w:spacing w:line="480" w:lineRule="auto"/>
        <w:ind w:firstLine="720"/>
        <w:rPr>
          <w:color w:val="000000" w:themeColor="text1"/>
          <w:sz w:val="24"/>
          <w:szCs w:val="24"/>
        </w:rPr>
      </w:pPr>
      <w:r w:rsidRPr="00D25040">
        <w:rPr>
          <w:color w:val="000000" w:themeColor="text1"/>
          <w:sz w:val="24"/>
          <w:szCs w:val="24"/>
        </w:rPr>
        <w:t xml:space="preserve">To conduct this research I </w:t>
      </w:r>
      <w:r w:rsidR="00296CA0">
        <w:rPr>
          <w:color w:val="000000" w:themeColor="text1"/>
          <w:sz w:val="24"/>
          <w:szCs w:val="24"/>
        </w:rPr>
        <w:t>used</w:t>
      </w:r>
      <w:r w:rsidR="00FF3848" w:rsidRPr="00D25040">
        <w:rPr>
          <w:color w:val="000000" w:themeColor="text1"/>
          <w:sz w:val="24"/>
          <w:szCs w:val="24"/>
        </w:rPr>
        <w:t xml:space="preserve"> a pre- and post- test method in order to track student</w:t>
      </w:r>
      <w:r w:rsidR="000A38E7" w:rsidRPr="00D25040">
        <w:rPr>
          <w:color w:val="000000" w:themeColor="text1"/>
          <w:sz w:val="24"/>
          <w:szCs w:val="24"/>
        </w:rPr>
        <w:t xml:space="preserve">s’ of various abilities progress. </w:t>
      </w:r>
      <w:r w:rsidR="00296CA0">
        <w:rPr>
          <w:color w:val="000000" w:themeColor="text1"/>
          <w:sz w:val="24"/>
          <w:szCs w:val="24"/>
        </w:rPr>
        <w:t>Multiple versions of the exams were</w:t>
      </w:r>
      <w:r w:rsidR="009061AA" w:rsidRPr="00D25040">
        <w:rPr>
          <w:color w:val="000000" w:themeColor="text1"/>
          <w:sz w:val="24"/>
          <w:szCs w:val="24"/>
        </w:rPr>
        <w:t xml:space="preserve"> made to avoid students looking off of another student for answers. Althoug</w:t>
      </w:r>
      <w:r w:rsidR="004C4AF0">
        <w:rPr>
          <w:color w:val="000000" w:themeColor="text1"/>
          <w:sz w:val="24"/>
          <w:szCs w:val="24"/>
        </w:rPr>
        <w:t>h the versions were</w:t>
      </w:r>
      <w:r w:rsidR="009061AA" w:rsidRPr="00D25040">
        <w:rPr>
          <w:color w:val="000000" w:themeColor="text1"/>
          <w:sz w:val="24"/>
          <w:szCs w:val="24"/>
        </w:rPr>
        <w:t xml:space="preserve"> different, the level of difficulty </w:t>
      </w:r>
      <w:r w:rsidR="004C4AF0">
        <w:rPr>
          <w:color w:val="000000" w:themeColor="text1"/>
          <w:sz w:val="24"/>
          <w:szCs w:val="24"/>
        </w:rPr>
        <w:t>was</w:t>
      </w:r>
      <w:r w:rsidR="009061AA" w:rsidRPr="00D25040">
        <w:rPr>
          <w:color w:val="000000" w:themeColor="text1"/>
          <w:sz w:val="24"/>
          <w:szCs w:val="24"/>
        </w:rPr>
        <w:t xml:space="preserve"> equal for all versions.</w:t>
      </w:r>
    </w:p>
    <w:p w14:paraId="7700EC64" w14:textId="77777777" w:rsidR="00FF3848" w:rsidRPr="00D25040" w:rsidRDefault="00FF3848" w:rsidP="004C6940">
      <w:pPr>
        <w:spacing w:line="480" w:lineRule="auto"/>
        <w:rPr>
          <w:b/>
          <w:color w:val="000000" w:themeColor="text1"/>
          <w:sz w:val="24"/>
          <w:szCs w:val="24"/>
        </w:rPr>
      </w:pPr>
      <w:r w:rsidRPr="00D25040">
        <w:rPr>
          <w:b/>
          <w:color w:val="000000" w:themeColor="text1"/>
          <w:sz w:val="24"/>
          <w:szCs w:val="24"/>
        </w:rPr>
        <w:t>Design and Procedure</w:t>
      </w:r>
    </w:p>
    <w:p w14:paraId="779FBAB7" w14:textId="62E4F08E" w:rsidR="00385823" w:rsidRPr="00D25040" w:rsidRDefault="004C4AF0" w:rsidP="004C6940">
      <w:pPr>
        <w:spacing w:line="480" w:lineRule="auto"/>
        <w:rPr>
          <w:color w:val="000000" w:themeColor="text1"/>
          <w:sz w:val="24"/>
          <w:szCs w:val="24"/>
        </w:rPr>
      </w:pPr>
      <w:r>
        <w:rPr>
          <w:color w:val="000000" w:themeColor="text1"/>
          <w:sz w:val="24"/>
          <w:szCs w:val="24"/>
        </w:rPr>
        <w:tab/>
        <w:t>The study was</w:t>
      </w:r>
      <w:r w:rsidR="004F474B" w:rsidRPr="00D25040">
        <w:rPr>
          <w:color w:val="000000" w:themeColor="text1"/>
          <w:sz w:val="24"/>
          <w:szCs w:val="24"/>
        </w:rPr>
        <w:t xml:space="preserve"> conducted over a four month period in two grade ten math classes. During </w:t>
      </w:r>
      <w:r>
        <w:rPr>
          <w:color w:val="000000" w:themeColor="text1"/>
          <w:sz w:val="24"/>
          <w:szCs w:val="24"/>
        </w:rPr>
        <w:t>the first week, students were</w:t>
      </w:r>
      <w:r w:rsidR="004F474B" w:rsidRPr="00D25040">
        <w:rPr>
          <w:color w:val="000000" w:themeColor="text1"/>
          <w:sz w:val="24"/>
          <w:szCs w:val="24"/>
        </w:rPr>
        <w:t xml:space="preserve"> given a formative assessment to determine how much of the prerequisite knowledge is understood prior to beginning the grade ten math curriculum. Students’ misunderstanding and lack of understanding </w:t>
      </w:r>
      <w:r>
        <w:rPr>
          <w:color w:val="000000" w:themeColor="text1"/>
          <w:sz w:val="24"/>
          <w:szCs w:val="24"/>
        </w:rPr>
        <w:t>was</w:t>
      </w:r>
      <w:r w:rsidR="004F474B" w:rsidRPr="00D25040">
        <w:rPr>
          <w:color w:val="000000" w:themeColor="text1"/>
          <w:sz w:val="24"/>
          <w:szCs w:val="24"/>
        </w:rPr>
        <w:t xml:space="preserve"> addressed and retaught before teaching the grade ten outcomes. Once the curri</w:t>
      </w:r>
      <w:r>
        <w:rPr>
          <w:color w:val="000000" w:themeColor="text1"/>
          <w:sz w:val="24"/>
          <w:szCs w:val="24"/>
        </w:rPr>
        <w:t>culum commences students were</w:t>
      </w:r>
      <w:r w:rsidR="004F474B" w:rsidRPr="00D25040">
        <w:rPr>
          <w:color w:val="000000" w:themeColor="text1"/>
          <w:sz w:val="24"/>
          <w:szCs w:val="24"/>
        </w:rPr>
        <w:t xml:space="preserve"> taught </w:t>
      </w:r>
      <w:r>
        <w:rPr>
          <w:color w:val="000000" w:themeColor="text1"/>
          <w:sz w:val="24"/>
          <w:szCs w:val="24"/>
        </w:rPr>
        <w:t xml:space="preserve">the unit of exponents and radicals as presented in </w:t>
      </w:r>
      <w:r w:rsidR="004F474B" w:rsidRPr="00D25040">
        <w:rPr>
          <w:color w:val="000000" w:themeColor="text1"/>
          <w:sz w:val="24"/>
          <w:szCs w:val="24"/>
        </w:rPr>
        <w:t>the grade ten curriculum</w:t>
      </w:r>
      <w:r>
        <w:rPr>
          <w:color w:val="000000" w:themeColor="text1"/>
          <w:sz w:val="24"/>
          <w:szCs w:val="24"/>
        </w:rPr>
        <w:t xml:space="preserve"> from Alberta Education</w:t>
      </w:r>
      <w:r w:rsidR="004F474B" w:rsidRPr="00D25040">
        <w:rPr>
          <w:color w:val="000000" w:themeColor="text1"/>
          <w:sz w:val="24"/>
          <w:szCs w:val="24"/>
        </w:rPr>
        <w:t>. T</w:t>
      </w:r>
      <w:r w:rsidR="0098004A">
        <w:rPr>
          <w:color w:val="000000" w:themeColor="text1"/>
          <w:sz w:val="24"/>
          <w:szCs w:val="24"/>
        </w:rPr>
        <w:t>he method of instruction was</w:t>
      </w:r>
      <w:r w:rsidR="004F474B" w:rsidRPr="00D25040">
        <w:rPr>
          <w:color w:val="000000" w:themeColor="text1"/>
          <w:sz w:val="24"/>
          <w:szCs w:val="24"/>
        </w:rPr>
        <w:t xml:space="preserve"> different in both classes</w:t>
      </w:r>
      <w:r>
        <w:rPr>
          <w:color w:val="000000" w:themeColor="text1"/>
          <w:sz w:val="24"/>
          <w:szCs w:val="24"/>
        </w:rPr>
        <w:t>. One class was</w:t>
      </w:r>
      <w:r w:rsidR="00551403" w:rsidRPr="00D25040">
        <w:rPr>
          <w:color w:val="000000" w:themeColor="text1"/>
          <w:sz w:val="24"/>
          <w:szCs w:val="24"/>
        </w:rPr>
        <w:t xml:space="preserve"> solely traditional in its instruction</w:t>
      </w:r>
      <w:r>
        <w:rPr>
          <w:color w:val="000000" w:themeColor="text1"/>
          <w:sz w:val="24"/>
          <w:szCs w:val="24"/>
        </w:rPr>
        <w:t xml:space="preserve"> for the exponents and radical unit. The teacher taught</w:t>
      </w:r>
      <w:r w:rsidR="00551403" w:rsidRPr="00D25040">
        <w:rPr>
          <w:color w:val="000000" w:themeColor="text1"/>
          <w:sz w:val="24"/>
          <w:szCs w:val="24"/>
        </w:rPr>
        <w:t xml:space="preserve"> lessons on the Alberta Education curriculum and students </w:t>
      </w:r>
      <w:r>
        <w:rPr>
          <w:color w:val="000000" w:themeColor="text1"/>
          <w:sz w:val="24"/>
          <w:szCs w:val="24"/>
        </w:rPr>
        <w:t xml:space="preserve">completed </w:t>
      </w:r>
      <w:r w:rsidR="00551403" w:rsidRPr="00D25040">
        <w:rPr>
          <w:color w:val="000000" w:themeColor="text1"/>
          <w:sz w:val="24"/>
          <w:szCs w:val="24"/>
        </w:rPr>
        <w:t xml:space="preserve">textbook and worksheet assignments based on these </w:t>
      </w:r>
      <w:r>
        <w:rPr>
          <w:color w:val="000000" w:themeColor="text1"/>
          <w:sz w:val="24"/>
          <w:szCs w:val="24"/>
        </w:rPr>
        <w:t>lessons. The other class was</w:t>
      </w:r>
      <w:r w:rsidR="00551403" w:rsidRPr="00D25040">
        <w:rPr>
          <w:color w:val="000000" w:themeColor="text1"/>
          <w:sz w:val="24"/>
          <w:szCs w:val="24"/>
        </w:rPr>
        <w:t xml:space="preserve"> a mix of traditional and inquiry-based te</w:t>
      </w:r>
      <w:r>
        <w:rPr>
          <w:color w:val="000000" w:themeColor="text1"/>
          <w:sz w:val="24"/>
          <w:szCs w:val="24"/>
        </w:rPr>
        <w:t>aching. There was some</w:t>
      </w:r>
      <w:r w:rsidR="00551403" w:rsidRPr="00D25040">
        <w:rPr>
          <w:color w:val="000000" w:themeColor="text1"/>
          <w:sz w:val="24"/>
          <w:szCs w:val="24"/>
        </w:rPr>
        <w:t xml:space="preserve"> traditional teaching for the new and essential outc</w:t>
      </w:r>
      <w:r w:rsidR="0098004A">
        <w:rPr>
          <w:color w:val="000000" w:themeColor="text1"/>
          <w:sz w:val="24"/>
          <w:szCs w:val="24"/>
        </w:rPr>
        <w:t xml:space="preserve">omes that student must master </w:t>
      </w:r>
      <w:r w:rsidR="00385823" w:rsidRPr="00D25040">
        <w:rPr>
          <w:color w:val="000000" w:themeColor="text1"/>
          <w:sz w:val="24"/>
          <w:szCs w:val="24"/>
        </w:rPr>
        <w:t xml:space="preserve">in order to be successful </w:t>
      </w:r>
      <w:r w:rsidR="0098004A">
        <w:rPr>
          <w:color w:val="000000" w:themeColor="text1"/>
          <w:sz w:val="24"/>
          <w:szCs w:val="24"/>
        </w:rPr>
        <w:t>the grade eleven</w:t>
      </w:r>
      <w:r w:rsidR="00551403" w:rsidRPr="00D25040">
        <w:rPr>
          <w:color w:val="000000" w:themeColor="text1"/>
          <w:sz w:val="24"/>
          <w:szCs w:val="24"/>
        </w:rPr>
        <w:t xml:space="preserve"> math level. However, the assignments and outcomes that students</w:t>
      </w:r>
      <w:r w:rsidR="0098004A">
        <w:rPr>
          <w:color w:val="000000" w:themeColor="text1"/>
          <w:sz w:val="24"/>
          <w:szCs w:val="24"/>
        </w:rPr>
        <w:t xml:space="preserve"> explored</w:t>
      </w:r>
      <w:r w:rsidR="00551403" w:rsidRPr="00D25040">
        <w:rPr>
          <w:color w:val="000000" w:themeColor="text1"/>
          <w:sz w:val="24"/>
          <w:szCs w:val="24"/>
        </w:rPr>
        <w:t xml:space="preserve"> on their own </w:t>
      </w:r>
      <w:r w:rsidR="0098004A">
        <w:rPr>
          <w:color w:val="000000" w:themeColor="text1"/>
          <w:sz w:val="24"/>
          <w:szCs w:val="24"/>
        </w:rPr>
        <w:t>were</w:t>
      </w:r>
      <w:r>
        <w:rPr>
          <w:color w:val="000000" w:themeColor="text1"/>
          <w:sz w:val="24"/>
          <w:szCs w:val="24"/>
        </w:rPr>
        <w:t xml:space="preserve"> completed </w:t>
      </w:r>
      <w:r w:rsidR="00385823" w:rsidRPr="00D25040">
        <w:rPr>
          <w:color w:val="000000" w:themeColor="text1"/>
          <w:sz w:val="24"/>
          <w:szCs w:val="24"/>
        </w:rPr>
        <w:t>th</w:t>
      </w:r>
      <w:r w:rsidR="0098004A">
        <w:rPr>
          <w:color w:val="000000" w:themeColor="text1"/>
          <w:sz w:val="24"/>
          <w:szCs w:val="24"/>
        </w:rPr>
        <w:t>r</w:t>
      </w:r>
      <w:r w:rsidR="00385823" w:rsidRPr="00D25040">
        <w:rPr>
          <w:color w:val="000000" w:themeColor="text1"/>
          <w:sz w:val="24"/>
          <w:szCs w:val="24"/>
        </w:rPr>
        <w:t>ou</w:t>
      </w:r>
      <w:r>
        <w:rPr>
          <w:color w:val="000000" w:themeColor="text1"/>
          <w:sz w:val="24"/>
          <w:szCs w:val="24"/>
        </w:rPr>
        <w:t>gh inquiry</w:t>
      </w:r>
      <w:r w:rsidR="0098004A">
        <w:rPr>
          <w:color w:val="000000" w:themeColor="text1"/>
          <w:sz w:val="24"/>
          <w:szCs w:val="24"/>
        </w:rPr>
        <w:t>-based learning</w:t>
      </w:r>
      <w:r>
        <w:rPr>
          <w:color w:val="000000" w:themeColor="text1"/>
          <w:sz w:val="24"/>
          <w:szCs w:val="24"/>
        </w:rPr>
        <w:t xml:space="preserve">. Students used </w:t>
      </w:r>
      <w:r w:rsidR="00385823" w:rsidRPr="00D25040">
        <w:rPr>
          <w:color w:val="000000" w:themeColor="text1"/>
          <w:sz w:val="24"/>
          <w:szCs w:val="24"/>
        </w:rPr>
        <w:t>technology, projects, and Edmodo in order to demonstrate their findings, knowledge, and understanding.</w:t>
      </w:r>
    </w:p>
    <w:p w14:paraId="06C2C8E2" w14:textId="23EF2AB9" w:rsidR="004F474B" w:rsidRPr="00D25040" w:rsidRDefault="004C4AF0" w:rsidP="004C6940">
      <w:pPr>
        <w:spacing w:line="480" w:lineRule="auto"/>
        <w:ind w:firstLine="720"/>
        <w:rPr>
          <w:color w:val="000000" w:themeColor="text1"/>
          <w:sz w:val="24"/>
          <w:szCs w:val="24"/>
        </w:rPr>
      </w:pPr>
      <w:r>
        <w:rPr>
          <w:color w:val="000000" w:themeColor="text1"/>
          <w:sz w:val="24"/>
          <w:szCs w:val="24"/>
        </w:rPr>
        <w:t xml:space="preserve">Both classes </w:t>
      </w:r>
      <w:r w:rsidR="00385823" w:rsidRPr="00D25040">
        <w:rPr>
          <w:color w:val="000000" w:themeColor="text1"/>
          <w:sz w:val="24"/>
          <w:szCs w:val="24"/>
        </w:rPr>
        <w:t>receive</w:t>
      </w:r>
      <w:r>
        <w:rPr>
          <w:color w:val="000000" w:themeColor="text1"/>
          <w:sz w:val="24"/>
          <w:szCs w:val="24"/>
        </w:rPr>
        <w:t>d</w:t>
      </w:r>
      <w:r w:rsidR="00385823" w:rsidRPr="00D25040">
        <w:rPr>
          <w:color w:val="000000" w:themeColor="text1"/>
          <w:sz w:val="24"/>
          <w:szCs w:val="24"/>
        </w:rPr>
        <w:t xml:space="preserve"> common summative assessment at the end of </w:t>
      </w:r>
      <w:r>
        <w:rPr>
          <w:color w:val="000000" w:themeColor="text1"/>
          <w:sz w:val="24"/>
          <w:szCs w:val="24"/>
        </w:rPr>
        <w:t>the exponents and radicals unit</w:t>
      </w:r>
      <w:r w:rsidR="00385823" w:rsidRPr="00D25040">
        <w:rPr>
          <w:color w:val="000000" w:themeColor="text1"/>
          <w:sz w:val="24"/>
          <w:szCs w:val="24"/>
        </w:rPr>
        <w:t xml:space="preserve">. </w:t>
      </w:r>
      <w:r>
        <w:rPr>
          <w:color w:val="000000" w:themeColor="text1"/>
          <w:sz w:val="24"/>
          <w:szCs w:val="24"/>
        </w:rPr>
        <w:t>Both classes results were</w:t>
      </w:r>
      <w:r w:rsidR="00385823" w:rsidRPr="00D25040">
        <w:rPr>
          <w:color w:val="000000" w:themeColor="text1"/>
          <w:sz w:val="24"/>
          <w:szCs w:val="24"/>
        </w:rPr>
        <w:t xml:space="preserve"> compared based on pre and posttest assessments. Furthermore the high academic and low academic results of the s</w:t>
      </w:r>
      <w:r w:rsidR="00832E57">
        <w:rPr>
          <w:color w:val="000000" w:themeColor="text1"/>
          <w:sz w:val="24"/>
          <w:szCs w:val="24"/>
        </w:rPr>
        <w:t>tudents in both classes were</w:t>
      </w:r>
      <w:r>
        <w:rPr>
          <w:color w:val="000000" w:themeColor="text1"/>
          <w:sz w:val="24"/>
          <w:szCs w:val="24"/>
        </w:rPr>
        <w:t xml:space="preserve"> </w:t>
      </w:r>
      <w:r w:rsidR="00385823" w:rsidRPr="00D25040">
        <w:rPr>
          <w:color w:val="000000" w:themeColor="text1"/>
          <w:sz w:val="24"/>
          <w:szCs w:val="24"/>
        </w:rPr>
        <w:t>analyzed in order to determine what is the best instruction for the various levels of academic ability in a mathematics classroom.</w:t>
      </w:r>
    </w:p>
    <w:p w14:paraId="5E8008B0" w14:textId="77777777" w:rsidR="00FF3848" w:rsidRPr="00D25040" w:rsidRDefault="00FF3848" w:rsidP="004C6940">
      <w:pPr>
        <w:spacing w:line="480" w:lineRule="auto"/>
        <w:rPr>
          <w:b/>
          <w:color w:val="000000" w:themeColor="text1"/>
          <w:sz w:val="24"/>
          <w:szCs w:val="24"/>
        </w:rPr>
      </w:pPr>
      <w:r w:rsidRPr="00D25040">
        <w:rPr>
          <w:b/>
          <w:color w:val="000000" w:themeColor="text1"/>
          <w:sz w:val="24"/>
          <w:szCs w:val="24"/>
        </w:rPr>
        <w:t>Instruments</w:t>
      </w:r>
    </w:p>
    <w:p w14:paraId="7E80F6D7" w14:textId="6F65EDCF" w:rsidR="006E55CE" w:rsidRPr="00D25040" w:rsidRDefault="0098004A" w:rsidP="004C6940">
      <w:pPr>
        <w:spacing w:line="480" w:lineRule="auto"/>
        <w:rPr>
          <w:color w:val="000000" w:themeColor="text1"/>
          <w:sz w:val="24"/>
          <w:szCs w:val="24"/>
        </w:rPr>
      </w:pPr>
      <w:r>
        <w:rPr>
          <w:color w:val="000000" w:themeColor="text1"/>
          <w:sz w:val="24"/>
          <w:szCs w:val="24"/>
        </w:rPr>
        <w:tab/>
        <w:t>Thes</w:t>
      </w:r>
      <w:r w:rsidR="00832E57">
        <w:rPr>
          <w:color w:val="000000" w:themeColor="text1"/>
          <w:sz w:val="24"/>
          <w:szCs w:val="24"/>
        </w:rPr>
        <w:t>e</w:t>
      </w:r>
      <w:r>
        <w:rPr>
          <w:color w:val="000000" w:themeColor="text1"/>
          <w:sz w:val="24"/>
          <w:szCs w:val="24"/>
        </w:rPr>
        <w:t xml:space="preserve"> classes</w:t>
      </w:r>
      <w:r w:rsidR="00832E57">
        <w:rPr>
          <w:color w:val="000000" w:themeColor="text1"/>
          <w:sz w:val="24"/>
          <w:szCs w:val="24"/>
        </w:rPr>
        <w:t xml:space="preserve"> were</w:t>
      </w:r>
      <w:r w:rsidR="006E55CE" w:rsidRPr="00D25040">
        <w:rPr>
          <w:color w:val="000000" w:themeColor="text1"/>
          <w:sz w:val="24"/>
          <w:szCs w:val="24"/>
        </w:rPr>
        <w:t xml:space="preserve"> taught grade ten math in the first semester of the 2014 to 2015 school</w:t>
      </w:r>
      <w:r w:rsidR="004C7467" w:rsidRPr="00D25040">
        <w:rPr>
          <w:color w:val="000000" w:themeColor="text1"/>
          <w:sz w:val="24"/>
          <w:szCs w:val="24"/>
        </w:rPr>
        <w:t xml:space="preserve"> year. One class </w:t>
      </w:r>
      <w:r w:rsidR="004C4AF0">
        <w:rPr>
          <w:color w:val="000000" w:themeColor="text1"/>
          <w:sz w:val="24"/>
          <w:szCs w:val="24"/>
        </w:rPr>
        <w:t xml:space="preserve">received </w:t>
      </w:r>
      <w:r w:rsidR="006E55CE" w:rsidRPr="00D25040">
        <w:rPr>
          <w:color w:val="000000" w:themeColor="text1"/>
          <w:sz w:val="24"/>
          <w:szCs w:val="24"/>
        </w:rPr>
        <w:t>only traditional i</w:t>
      </w:r>
      <w:r w:rsidR="004C4AF0">
        <w:rPr>
          <w:color w:val="000000" w:themeColor="text1"/>
          <w:sz w:val="24"/>
          <w:szCs w:val="24"/>
        </w:rPr>
        <w:t xml:space="preserve">nstruction while the other </w:t>
      </w:r>
      <w:r w:rsidR="006E55CE" w:rsidRPr="00D25040">
        <w:rPr>
          <w:color w:val="000000" w:themeColor="text1"/>
          <w:sz w:val="24"/>
          <w:szCs w:val="24"/>
        </w:rPr>
        <w:t>receive</w:t>
      </w:r>
      <w:r w:rsidR="004C4AF0">
        <w:rPr>
          <w:color w:val="000000" w:themeColor="text1"/>
          <w:sz w:val="24"/>
          <w:szCs w:val="24"/>
        </w:rPr>
        <w:t>d</w:t>
      </w:r>
      <w:r w:rsidR="006E55CE" w:rsidRPr="00D25040">
        <w:rPr>
          <w:color w:val="000000" w:themeColor="text1"/>
          <w:sz w:val="24"/>
          <w:szCs w:val="24"/>
        </w:rPr>
        <w:t xml:space="preserve"> inquiry-based instruction. The inquiry-based </w:t>
      </w:r>
      <w:r>
        <w:rPr>
          <w:color w:val="000000" w:themeColor="text1"/>
          <w:sz w:val="24"/>
          <w:szCs w:val="24"/>
        </w:rPr>
        <w:t>class received</w:t>
      </w:r>
      <w:r w:rsidR="006E55CE" w:rsidRPr="00D25040">
        <w:rPr>
          <w:color w:val="000000" w:themeColor="text1"/>
          <w:sz w:val="24"/>
          <w:szCs w:val="24"/>
        </w:rPr>
        <w:t xml:space="preserve"> traditional instruction for the content that cannot be explored. Both classes </w:t>
      </w:r>
      <w:r w:rsidR="004C4AF0">
        <w:rPr>
          <w:color w:val="000000" w:themeColor="text1"/>
          <w:sz w:val="24"/>
          <w:szCs w:val="24"/>
        </w:rPr>
        <w:t>received</w:t>
      </w:r>
      <w:r w:rsidR="006E55CE" w:rsidRPr="00D25040">
        <w:rPr>
          <w:color w:val="000000" w:themeColor="text1"/>
          <w:sz w:val="24"/>
          <w:szCs w:val="24"/>
        </w:rPr>
        <w:t xml:space="preserve"> the same summative assessment through</w:t>
      </w:r>
      <w:r w:rsidR="004C4AF0">
        <w:rPr>
          <w:color w:val="000000" w:themeColor="text1"/>
          <w:sz w:val="24"/>
          <w:szCs w:val="24"/>
        </w:rPr>
        <w:t>out the semester. This showed</w:t>
      </w:r>
      <w:r w:rsidR="006E55CE" w:rsidRPr="00D25040">
        <w:rPr>
          <w:color w:val="000000" w:themeColor="text1"/>
          <w:sz w:val="24"/>
          <w:szCs w:val="24"/>
        </w:rPr>
        <w:t xml:space="preserve"> the difference in how traditional students perform on traditional pen and paper exams in comparison to </w:t>
      </w:r>
      <w:r>
        <w:rPr>
          <w:color w:val="000000" w:themeColor="text1"/>
          <w:sz w:val="24"/>
          <w:szCs w:val="24"/>
        </w:rPr>
        <w:t>projects. T</w:t>
      </w:r>
      <w:r w:rsidR="004C4AF0">
        <w:rPr>
          <w:color w:val="000000" w:themeColor="text1"/>
          <w:sz w:val="24"/>
          <w:szCs w:val="24"/>
        </w:rPr>
        <w:t>he results were</w:t>
      </w:r>
      <w:r>
        <w:rPr>
          <w:color w:val="000000" w:themeColor="text1"/>
          <w:sz w:val="24"/>
          <w:szCs w:val="24"/>
        </w:rPr>
        <w:t xml:space="preserve"> then</w:t>
      </w:r>
      <w:r w:rsidR="006E55CE" w:rsidRPr="00D25040">
        <w:rPr>
          <w:color w:val="000000" w:themeColor="text1"/>
          <w:sz w:val="24"/>
          <w:szCs w:val="24"/>
        </w:rPr>
        <w:t xml:space="preserve"> compared with the inquiry-based learning class. The pretest at the b</w:t>
      </w:r>
      <w:r>
        <w:rPr>
          <w:color w:val="000000" w:themeColor="text1"/>
          <w:sz w:val="24"/>
          <w:szCs w:val="24"/>
        </w:rPr>
        <w:t>eginning of the semester was</w:t>
      </w:r>
      <w:r w:rsidR="006E55CE" w:rsidRPr="00D25040">
        <w:rPr>
          <w:color w:val="000000" w:themeColor="text1"/>
          <w:sz w:val="24"/>
          <w:szCs w:val="24"/>
        </w:rPr>
        <w:t xml:space="preserve"> a formative assessment of the content knowledge that students have learnt in previous grades and are necessary to be successful at the grad</w:t>
      </w:r>
      <w:r w:rsidR="004C7467" w:rsidRPr="00D25040">
        <w:rPr>
          <w:color w:val="000000" w:themeColor="text1"/>
          <w:sz w:val="24"/>
          <w:szCs w:val="24"/>
        </w:rPr>
        <w:t>e ten level in mathem</w:t>
      </w:r>
      <w:r>
        <w:rPr>
          <w:color w:val="000000" w:themeColor="text1"/>
          <w:sz w:val="24"/>
          <w:szCs w:val="24"/>
        </w:rPr>
        <w:t>atics. Both classes received</w:t>
      </w:r>
      <w:r w:rsidR="004C7467" w:rsidRPr="00D25040">
        <w:rPr>
          <w:color w:val="000000" w:themeColor="text1"/>
          <w:sz w:val="24"/>
          <w:szCs w:val="24"/>
        </w:rPr>
        <w:t xml:space="preserve"> the same </w:t>
      </w:r>
      <w:r>
        <w:rPr>
          <w:color w:val="000000" w:themeColor="text1"/>
          <w:sz w:val="24"/>
          <w:szCs w:val="24"/>
        </w:rPr>
        <w:t>chapter four final exam. This exam was a comprehensive assessment of number systems, exponents, and radicals.</w:t>
      </w:r>
      <w:r w:rsidR="004C7467" w:rsidRPr="00D25040">
        <w:rPr>
          <w:color w:val="000000" w:themeColor="text1"/>
          <w:sz w:val="24"/>
          <w:szCs w:val="24"/>
        </w:rPr>
        <w:t xml:space="preserve"> The results among the high a</w:t>
      </w:r>
      <w:r w:rsidR="003B63D7">
        <w:rPr>
          <w:color w:val="000000" w:themeColor="text1"/>
          <w:sz w:val="24"/>
          <w:szCs w:val="24"/>
        </w:rPr>
        <w:t>nd low academic students were</w:t>
      </w:r>
      <w:r w:rsidR="004C7467" w:rsidRPr="00D25040">
        <w:rPr>
          <w:color w:val="000000" w:themeColor="text1"/>
          <w:sz w:val="24"/>
          <w:szCs w:val="24"/>
        </w:rPr>
        <w:t xml:space="preserve"> monitored and analyzed</w:t>
      </w:r>
      <w:r w:rsidR="00B01EB3" w:rsidRPr="00D25040">
        <w:rPr>
          <w:color w:val="000000" w:themeColor="text1"/>
          <w:sz w:val="24"/>
          <w:szCs w:val="24"/>
        </w:rPr>
        <w:t xml:space="preserve"> by a </w:t>
      </w:r>
      <w:r w:rsidR="00B01EB3" w:rsidRPr="003B63D7">
        <w:rPr>
          <w:i/>
          <w:color w:val="000000" w:themeColor="text1"/>
          <w:sz w:val="24"/>
          <w:szCs w:val="24"/>
        </w:rPr>
        <w:t>t</w:t>
      </w:r>
      <w:r w:rsidR="00B01EB3" w:rsidRPr="00D25040">
        <w:rPr>
          <w:color w:val="000000" w:themeColor="text1"/>
          <w:sz w:val="24"/>
          <w:szCs w:val="24"/>
        </w:rPr>
        <w:t>-test of the pretest and posttest data</w:t>
      </w:r>
      <w:r w:rsidR="004C7467" w:rsidRPr="00D25040">
        <w:rPr>
          <w:color w:val="000000" w:themeColor="text1"/>
          <w:sz w:val="24"/>
          <w:szCs w:val="24"/>
        </w:rPr>
        <w:t xml:space="preserve">. </w:t>
      </w:r>
      <w:r>
        <w:rPr>
          <w:color w:val="000000" w:themeColor="text1"/>
          <w:sz w:val="24"/>
          <w:szCs w:val="24"/>
        </w:rPr>
        <w:t>Furthermore, r</w:t>
      </w:r>
      <w:r w:rsidR="004C7467" w:rsidRPr="00D25040">
        <w:rPr>
          <w:color w:val="000000" w:themeColor="text1"/>
          <w:sz w:val="24"/>
          <w:szCs w:val="24"/>
        </w:rPr>
        <w:t>ecognizing whether traditional or inquiry-based learning is most beneficial for the various levels of students is the objective of this research.</w:t>
      </w:r>
    </w:p>
    <w:p w14:paraId="7D42CA75" w14:textId="77777777" w:rsidR="00FF3848" w:rsidRPr="00D25040" w:rsidRDefault="00FF3848" w:rsidP="004C6940">
      <w:pPr>
        <w:spacing w:line="480" w:lineRule="auto"/>
        <w:rPr>
          <w:b/>
          <w:color w:val="000000" w:themeColor="text1"/>
          <w:sz w:val="24"/>
          <w:szCs w:val="24"/>
        </w:rPr>
      </w:pPr>
      <w:r w:rsidRPr="00D25040">
        <w:rPr>
          <w:b/>
          <w:color w:val="000000" w:themeColor="text1"/>
          <w:sz w:val="24"/>
          <w:szCs w:val="24"/>
        </w:rPr>
        <w:t xml:space="preserve">Institutional Review Board </w:t>
      </w:r>
    </w:p>
    <w:p w14:paraId="4FF9F674" w14:textId="264FB45B" w:rsidR="00EF7512" w:rsidRDefault="00FF3848" w:rsidP="004C6940">
      <w:pPr>
        <w:spacing w:line="480" w:lineRule="auto"/>
        <w:rPr>
          <w:color w:val="000000" w:themeColor="text1"/>
          <w:sz w:val="24"/>
          <w:szCs w:val="24"/>
        </w:rPr>
      </w:pPr>
      <w:r w:rsidRPr="00D25040">
        <w:rPr>
          <w:color w:val="000000" w:themeColor="text1"/>
          <w:sz w:val="24"/>
          <w:szCs w:val="24"/>
        </w:rPr>
        <w:tab/>
      </w:r>
      <w:r w:rsidR="00380FB6" w:rsidRPr="00D25040">
        <w:rPr>
          <w:color w:val="000000" w:themeColor="text1"/>
          <w:sz w:val="24"/>
          <w:szCs w:val="24"/>
        </w:rPr>
        <w:t>The Institutional Review Board granted permission to conduct this research study on Jul</w:t>
      </w:r>
      <w:r w:rsidR="0098004A">
        <w:rPr>
          <w:color w:val="000000" w:themeColor="text1"/>
          <w:sz w:val="24"/>
          <w:szCs w:val="24"/>
        </w:rPr>
        <w:t>y 4, 2014.  The research was</w:t>
      </w:r>
      <w:r w:rsidR="00380FB6" w:rsidRPr="00D25040">
        <w:rPr>
          <w:color w:val="000000" w:themeColor="text1"/>
          <w:sz w:val="24"/>
          <w:szCs w:val="24"/>
        </w:rPr>
        <w:t xml:space="preserve"> performed during the second and fourth block of a four block schedule at Notre Dame High School. Parental or legal guardian consent was not necessary for this research as the instruction </w:t>
      </w:r>
      <w:r w:rsidR="0098004A">
        <w:rPr>
          <w:color w:val="000000" w:themeColor="text1"/>
          <w:sz w:val="24"/>
          <w:szCs w:val="24"/>
        </w:rPr>
        <w:t>of the grade ten math class was</w:t>
      </w:r>
      <w:r w:rsidR="00380FB6" w:rsidRPr="00D25040">
        <w:rPr>
          <w:color w:val="000000" w:themeColor="text1"/>
          <w:sz w:val="24"/>
          <w:szCs w:val="24"/>
        </w:rPr>
        <w:t xml:space="preserve"> not be beyond the normal scope of regular duties and responsibilities of a teacher.</w:t>
      </w:r>
      <w:r w:rsidR="0098004A">
        <w:rPr>
          <w:color w:val="000000" w:themeColor="text1"/>
          <w:sz w:val="24"/>
          <w:szCs w:val="24"/>
        </w:rPr>
        <w:t xml:space="preserve"> No class was</w:t>
      </w:r>
      <w:r w:rsidR="00621E02" w:rsidRPr="00D25040">
        <w:rPr>
          <w:color w:val="000000" w:themeColor="text1"/>
          <w:sz w:val="24"/>
          <w:szCs w:val="24"/>
        </w:rPr>
        <w:t xml:space="preserve"> disadvantaged in any way by completing this research.</w:t>
      </w:r>
    </w:p>
    <w:p w14:paraId="0D3348AD" w14:textId="77777777" w:rsidR="0098004A" w:rsidRDefault="0098004A" w:rsidP="004C6940">
      <w:pPr>
        <w:spacing w:line="480" w:lineRule="auto"/>
        <w:rPr>
          <w:color w:val="000000" w:themeColor="text1"/>
          <w:sz w:val="24"/>
          <w:szCs w:val="24"/>
        </w:rPr>
      </w:pPr>
    </w:p>
    <w:p w14:paraId="5DB6DFD7" w14:textId="43709017" w:rsidR="00FF3848" w:rsidRPr="00EF7512" w:rsidRDefault="00FF3848" w:rsidP="004C6940">
      <w:pPr>
        <w:spacing w:line="480" w:lineRule="auto"/>
        <w:rPr>
          <w:color w:val="000000" w:themeColor="text1"/>
          <w:sz w:val="24"/>
          <w:szCs w:val="24"/>
        </w:rPr>
      </w:pPr>
      <w:r w:rsidRPr="00D25040">
        <w:rPr>
          <w:b/>
          <w:color w:val="000000" w:themeColor="text1"/>
          <w:sz w:val="24"/>
          <w:szCs w:val="24"/>
        </w:rPr>
        <w:t>Role of the Researcher</w:t>
      </w:r>
    </w:p>
    <w:p w14:paraId="08B4076A" w14:textId="0BFFF73A" w:rsidR="0098004A" w:rsidRDefault="00FF3848" w:rsidP="004C6940">
      <w:pPr>
        <w:spacing w:line="480" w:lineRule="auto"/>
        <w:rPr>
          <w:sz w:val="24"/>
          <w:szCs w:val="24"/>
        </w:rPr>
      </w:pPr>
      <w:r w:rsidRPr="00D25040">
        <w:rPr>
          <w:b/>
          <w:color w:val="000000" w:themeColor="text1"/>
          <w:sz w:val="24"/>
          <w:szCs w:val="24"/>
        </w:rPr>
        <w:tab/>
      </w:r>
      <w:r w:rsidRPr="00D25040">
        <w:rPr>
          <w:color w:val="000000" w:themeColor="text1"/>
          <w:sz w:val="24"/>
          <w:szCs w:val="24"/>
        </w:rPr>
        <w:t xml:space="preserve">From September 2014 to January 2015, I taught four math classes and I administered my research in the two grade ten math classes that I had. While conducting this research I was a University of Portland student in the Masters of Education program. I </w:t>
      </w:r>
      <w:r w:rsidR="0098004A">
        <w:rPr>
          <w:color w:val="000000" w:themeColor="text1"/>
          <w:sz w:val="24"/>
          <w:szCs w:val="24"/>
        </w:rPr>
        <w:t>am expected to</w:t>
      </w:r>
      <w:r w:rsidR="00EF7D9A" w:rsidRPr="00D25040">
        <w:rPr>
          <w:color w:val="000000" w:themeColor="text1"/>
          <w:sz w:val="24"/>
          <w:szCs w:val="24"/>
        </w:rPr>
        <w:t xml:space="preserve"> graduate from the University of Portland in July 2015. </w:t>
      </w:r>
      <w:r w:rsidR="0098004A">
        <w:rPr>
          <w:color w:val="000000" w:themeColor="text1"/>
          <w:sz w:val="24"/>
          <w:szCs w:val="24"/>
        </w:rPr>
        <w:t>Prior to enrolling in the Masters of Education program, I</w:t>
      </w:r>
      <w:r w:rsidR="0098004A" w:rsidRPr="00D25040">
        <w:rPr>
          <w:color w:val="000000" w:themeColor="text1"/>
          <w:sz w:val="24"/>
          <w:szCs w:val="24"/>
        </w:rPr>
        <w:t xml:space="preserve"> received my Bachelor of Education degree from the University of Alberta with a major in mathematics and a minor in physical education. </w:t>
      </w:r>
      <w:r w:rsidR="0098004A">
        <w:rPr>
          <w:color w:val="000000" w:themeColor="text1"/>
          <w:sz w:val="24"/>
          <w:szCs w:val="24"/>
        </w:rPr>
        <w:t xml:space="preserve">Throughout this research, I was </w:t>
      </w:r>
      <w:r w:rsidR="00EF7D9A" w:rsidRPr="00D25040">
        <w:rPr>
          <w:color w:val="000000" w:themeColor="text1"/>
          <w:sz w:val="24"/>
          <w:szCs w:val="24"/>
        </w:rPr>
        <w:t>in my fourth year of t</w:t>
      </w:r>
      <w:r w:rsidR="0098004A">
        <w:rPr>
          <w:color w:val="000000" w:themeColor="text1"/>
          <w:sz w:val="24"/>
          <w:szCs w:val="24"/>
        </w:rPr>
        <w:t>eaching high school math. I had</w:t>
      </w:r>
      <w:r w:rsidR="00EF7D9A" w:rsidRPr="00D25040">
        <w:rPr>
          <w:color w:val="000000" w:themeColor="text1"/>
          <w:sz w:val="24"/>
          <w:szCs w:val="24"/>
        </w:rPr>
        <w:t xml:space="preserve"> experience teaching all grades and levels of math at the high school level</w:t>
      </w:r>
      <w:r w:rsidR="0098004A">
        <w:rPr>
          <w:color w:val="000000" w:themeColor="text1"/>
          <w:sz w:val="24"/>
          <w:szCs w:val="24"/>
        </w:rPr>
        <w:t xml:space="preserve"> prior to completing this research</w:t>
      </w:r>
      <w:r w:rsidR="00EF7D9A" w:rsidRPr="00D25040">
        <w:rPr>
          <w:color w:val="000000" w:themeColor="text1"/>
          <w:sz w:val="24"/>
          <w:szCs w:val="24"/>
        </w:rPr>
        <w:t xml:space="preserve">. </w:t>
      </w:r>
      <w:r w:rsidR="0098004A">
        <w:rPr>
          <w:color w:val="000000" w:themeColor="text1"/>
          <w:sz w:val="24"/>
          <w:szCs w:val="24"/>
        </w:rPr>
        <w:t>With my</w:t>
      </w:r>
      <w:r w:rsidR="00ED58C4" w:rsidRPr="00D25040">
        <w:rPr>
          <w:color w:val="000000" w:themeColor="text1"/>
          <w:sz w:val="24"/>
          <w:szCs w:val="24"/>
        </w:rPr>
        <w:t xml:space="preserve"> genuine passi</w:t>
      </w:r>
      <w:r w:rsidR="0098004A">
        <w:rPr>
          <w:color w:val="000000" w:themeColor="text1"/>
          <w:sz w:val="24"/>
          <w:szCs w:val="24"/>
        </w:rPr>
        <w:t xml:space="preserve">on for teaching and </w:t>
      </w:r>
      <w:r w:rsidR="0098004A">
        <w:rPr>
          <w:sz w:val="24"/>
          <w:szCs w:val="24"/>
        </w:rPr>
        <w:t>solid background in mathematics, it allows me to be prepared for the research component of this study.</w:t>
      </w:r>
    </w:p>
    <w:p w14:paraId="1140B9AC" w14:textId="7D8D21CE" w:rsidR="0098579D" w:rsidRDefault="0098579D" w:rsidP="004C6940">
      <w:pPr>
        <w:spacing w:line="480" w:lineRule="auto"/>
        <w:rPr>
          <w:b/>
          <w:sz w:val="24"/>
          <w:szCs w:val="24"/>
        </w:rPr>
      </w:pPr>
      <w:r>
        <w:rPr>
          <w:b/>
          <w:sz w:val="24"/>
          <w:szCs w:val="24"/>
        </w:rPr>
        <w:t>Summary</w:t>
      </w:r>
    </w:p>
    <w:p w14:paraId="059A732A" w14:textId="65D7D8F2" w:rsidR="0098579D" w:rsidRPr="00AD625A" w:rsidRDefault="0098579D" w:rsidP="004C6940">
      <w:pPr>
        <w:spacing w:line="480" w:lineRule="auto"/>
        <w:rPr>
          <w:sz w:val="24"/>
          <w:szCs w:val="24"/>
        </w:rPr>
      </w:pPr>
      <w:r>
        <w:rPr>
          <w:sz w:val="24"/>
          <w:szCs w:val="24"/>
        </w:rPr>
        <w:tab/>
        <w:t>Through the data obtained from the pre and post assessments, this study measured</w:t>
      </w:r>
      <w:r w:rsidRPr="00D25040">
        <w:rPr>
          <w:color w:val="000000" w:themeColor="text1"/>
          <w:sz w:val="24"/>
          <w:szCs w:val="24"/>
        </w:rPr>
        <w:t xml:space="preserve"> how inquiry-based teaching methods affect various ability levels in a grade ten math classroom.</w:t>
      </w:r>
      <w:r>
        <w:rPr>
          <w:sz w:val="24"/>
          <w:szCs w:val="24"/>
        </w:rPr>
        <w:t xml:space="preserve">  The pretest used for this study was a beginning of the year assessment that specifically assessed the students prerequisite knowledge for the Math 10C curriculum. </w:t>
      </w:r>
      <w:r w:rsidR="00AD625A">
        <w:rPr>
          <w:sz w:val="24"/>
          <w:szCs w:val="24"/>
        </w:rPr>
        <w:t>The posttest was the chapter four unit exam after the two classes learnt the curriculum. One class received inquiry-based teaching while the other class received traditional teaching.</w:t>
      </w:r>
      <w:r>
        <w:rPr>
          <w:sz w:val="24"/>
          <w:szCs w:val="24"/>
        </w:rPr>
        <w:t xml:space="preserve">  Specifica</w:t>
      </w:r>
      <w:r w:rsidR="00AD625A">
        <w:rPr>
          <w:sz w:val="24"/>
          <w:szCs w:val="24"/>
        </w:rPr>
        <w:t>lly, this study used paired</w:t>
      </w:r>
      <w:r>
        <w:rPr>
          <w:sz w:val="24"/>
          <w:szCs w:val="24"/>
        </w:rPr>
        <w:t xml:space="preserve"> </w:t>
      </w:r>
      <w:r>
        <w:rPr>
          <w:i/>
          <w:sz w:val="24"/>
          <w:szCs w:val="24"/>
        </w:rPr>
        <w:t>t</w:t>
      </w:r>
      <w:r w:rsidR="00153098">
        <w:rPr>
          <w:sz w:val="24"/>
          <w:szCs w:val="24"/>
        </w:rPr>
        <w:t>-</w:t>
      </w:r>
      <w:r>
        <w:rPr>
          <w:sz w:val="24"/>
          <w:szCs w:val="24"/>
        </w:rPr>
        <w:t>tests</w:t>
      </w:r>
      <w:r>
        <w:rPr>
          <w:color w:val="FF0000"/>
          <w:sz w:val="24"/>
          <w:szCs w:val="24"/>
        </w:rPr>
        <w:t xml:space="preserve"> </w:t>
      </w:r>
      <w:r>
        <w:rPr>
          <w:sz w:val="24"/>
          <w:szCs w:val="24"/>
        </w:rPr>
        <w:t>to measure the statistical sig</w:t>
      </w:r>
      <w:r w:rsidR="00153098">
        <w:rPr>
          <w:sz w:val="24"/>
          <w:szCs w:val="24"/>
        </w:rPr>
        <w:t>nificance of the a</w:t>
      </w:r>
      <w:r>
        <w:rPr>
          <w:sz w:val="24"/>
          <w:szCs w:val="24"/>
        </w:rPr>
        <w:t xml:space="preserve">ffect of </w:t>
      </w:r>
      <w:r w:rsidR="00AD625A">
        <w:rPr>
          <w:sz w:val="24"/>
          <w:szCs w:val="24"/>
        </w:rPr>
        <w:t>both the inquiry-based and traditional teaching methods.</w:t>
      </w:r>
    </w:p>
    <w:p w14:paraId="07452423" w14:textId="77777777" w:rsidR="0064571B" w:rsidRPr="00D25040" w:rsidRDefault="0064571B" w:rsidP="004C6940">
      <w:pPr>
        <w:spacing w:line="480" w:lineRule="auto"/>
        <w:jc w:val="center"/>
        <w:rPr>
          <w:b/>
          <w:color w:val="000000" w:themeColor="text1"/>
          <w:sz w:val="24"/>
          <w:szCs w:val="24"/>
        </w:rPr>
      </w:pPr>
      <w:r w:rsidRPr="00D25040">
        <w:rPr>
          <w:b/>
          <w:color w:val="000000" w:themeColor="text1"/>
          <w:sz w:val="24"/>
          <w:szCs w:val="24"/>
        </w:rPr>
        <w:t>Chapter IV – Results</w:t>
      </w:r>
    </w:p>
    <w:p w14:paraId="041ECA59" w14:textId="42817948" w:rsidR="00AD625A" w:rsidRPr="00D25040" w:rsidRDefault="0064571B" w:rsidP="004C6940">
      <w:pPr>
        <w:spacing w:line="480" w:lineRule="auto"/>
        <w:rPr>
          <w:color w:val="000000" w:themeColor="text1"/>
          <w:sz w:val="24"/>
          <w:szCs w:val="24"/>
        </w:rPr>
      </w:pPr>
      <w:r w:rsidRPr="00D25040">
        <w:rPr>
          <w:color w:val="000000" w:themeColor="text1"/>
          <w:sz w:val="24"/>
          <w:szCs w:val="24"/>
        </w:rPr>
        <w:tab/>
      </w:r>
      <w:r w:rsidR="00153098">
        <w:rPr>
          <w:color w:val="000000" w:themeColor="text1"/>
          <w:sz w:val="24"/>
          <w:szCs w:val="24"/>
        </w:rPr>
        <w:t>To determine the a</w:t>
      </w:r>
      <w:r w:rsidR="008568A3" w:rsidRPr="00D25040">
        <w:rPr>
          <w:color w:val="000000" w:themeColor="text1"/>
          <w:sz w:val="24"/>
          <w:szCs w:val="24"/>
        </w:rPr>
        <w:t xml:space="preserve">ffect of inquiry-based teaching practices in a math classroom; this study implemented a quantitative study to determine if inquiry-based teaching methods were more effective than traditional teaching methods. </w:t>
      </w:r>
      <w:r w:rsidRPr="00D25040">
        <w:rPr>
          <w:color w:val="000000" w:themeColor="text1"/>
          <w:sz w:val="24"/>
          <w:szCs w:val="24"/>
        </w:rPr>
        <w:t xml:space="preserve">More specifically, did </w:t>
      </w:r>
      <w:r w:rsidR="008568A3" w:rsidRPr="00D25040">
        <w:rPr>
          <w:color w:val="000000" w:themeColor="text1"/>
          <w:sz w:val="24"/>
          <w:szCs w:val="24"/>
        </w:rPr>
        <w:t xml:space="preserve">inquiry-based teaching methods work best for both the stronger and weaker math students compared to traditional methods? </w:t>
      </w:r>
      <w:r w:rsidRPr="00D25040">
        <w:rPr>
          <w:color w:val="000000" w:themeColor="text1"/>
          <w:sz w:val="24"/>
          <w:szCs w:val="24"/>
        </w:rPr>
        <w:t xml:space="preserve">To </w:t>
      </w:r>
      <w:r w:rsidR="001D4FE5" w:rsidRPr="00D25040">
        <w:rPr>
          <w:color w:val="000000" w:themeColor="text1"/>
          <w:sz w:val="24"/>
          <w:szCs w:val="24"/>
        </w:rPr>
        <w:t>achieve</w:t>
      </w:r>
      <w:r w:rsidRPr="00D25040">
        <w:rPr>
          <w:color w:val="000000" w:themeColor="text1"/>
          <w:sz w:val="24"/>
          <w:szCs w:val="24"/>
        </w:rPr>
        <w:t xml:space="preserve"> this, the researcher collected quantitative data from the pretest and posttest.  </w:t>
      </w:r>
      <w:r w:rsidR="008568A3" w:rsidRPr="00D25040">
        <w:rPr>
          <w:color w:val="000000" w:themeColor="text1"/>
          <w:sz w:val="24"/>
          <w:szCs w:val="24"/>
        </w:rPr>
        <w:t>EZAnalyze was used</w:t>
      </w:r>
      <w:r w:rsidR="001D4FE5" w:rsidRPr="00D25040">
        <w:rPr>
          <w:color w:val="000000" w:themeColor="text1"/>
          <w:sz w:val="24"/>
          <w:szCs w:val="24"/>
        </w:rPr>
        <w:t xml:space="preserve"> by the researcher to complete </w:t>
      </w:r>
      <w:r w:rsidR="008568A3" w:rsidRPr="00D25040">
        <w:rPr>
          <w:color w:val="000000" w:themeColor="text1"/>
          <w:sz w:val="24"/>
          <w:szCs w:val="24"/>
        </w:rPr>
        <w:t xml:space="preserve"> paired </w:t>
      </w:r>
      <w:r w:rsidR="008568A3" w:rsidRPr="00D25040">
        <w:rPr>
          <w:i/>
          <w:color w:val="000000" w:themeColor="text1"/>
          <w:sz w:val="24"/>
          <w:szCs w:val="24"/>
        </w:rPr>
        <w:t>t</w:t>
      </w:r>
      <w:r w:rsidR="008568A3" w:rsidRPr="00D25040">
        <w:rPr>
          <w:color w:val="000000" w:themeColor="text1"/>
          <w:sz w:val="24"/>
          <w:szCs w:val="24"/>
        </w:rPr>
        <w:t>-test</w:t>
      </w:r>
      <w:r w:rsidR="001C21F3" w:rsidRPr="00D25040">
        <w:rPr>
          <w:color w:val="000000" w:themeColor="text1"/>
          <w:sz w:val="24"/>
          <w:szCs w:val="24"/>
        </w:rPr>
        <w:t>s</w:t>
      </w:r>
      <w:r w:rsidR="001D4FE5" w:rsidRPr="00D25040">
        <w:rPr>
          <w:color w:val="000000" w:themeColor="text1"/>
          <w:sz w:val="24"/>
          <w:szCs w:val="24"/>
        </w:rPr>
        <w:t>.</w:t>
      </w:r>
    </w:p>
    <w:p w14:paraId="3964E053" w14:textId="77777777" w:rsidR="0064571B" w:rsidRPr="00D25040" w:rsidRDefault="0064571B" w:rsidP="004C6940">
      <w:pPr>
        <w:spacing w:line="480" w:lineRule="auto"/>
        <w:rPr>
          <w:b/>
          <w:color w:val="000000" w:themeColor="text1"/>
          <w:sz w:val="24"/>
          <w:szCs w:val="24"/>
        </w:rPr>
      </w:pPr>
      <w:r w:rsidRPr="00D25040">
        <w:rPr>
          <w:b/>
          <w:color w:val="000000" w:themeColor="text1"/>
          <w:sz w:val="24"/>
          <w:szCs w:val="24"/>
        </w:rPr>
        <w:t>General Data Analysis</w:t>
      </w:r>
    </w:p>
    <w:p w14:paraId="6DFEA0C6" w14:textId="5C2150F2" w:rsidR="0064571B" w:rsidRPr="00D25040" w:rsidRDefault="0064571B" w:rsidP="004C6940">
      <w:pPr>
        <w:spacing w:line="480" w:lineRule="auto"/>
        <w:rPr>
          <w:color w:val="000000" w:themeColor="text1"/>
          <w:sz w:val="24"/>
          <w:szCs w:val="24"/>
        </w:rPr>
      </w:pPr>
      <w:r w:rsidRPr="00D25040">
        <w:rPr>
          <w:b/>
          <w:color w:val="000000" w:themeColor="text1"/>
          <w:sz w:val="24"/>
          <w:szCs w:val="24"/>
        </w:rPr>
        <w:tab/>
      </w:r>
      <w:r w:rsidRPr="00D25040">
        <w:rPr>
          <w:color w:val="000000" w:themeColor="text1"/>
          <w:sz w:val="24"/>
          <w:szCs w:val="24"/>
        </w:rPr>
        <w:t>It was hypothesized that</w:t>
      </w:r>
      <w:r w:rsidR="001D4FE5" w:rsidRPr="00D25040">
        <w:rPr>
          <w:color w:val="000000" w:themeColor="text1"/>
          <w:sz w:val="24"/>
          <w:szCs w:val="24"/>
        </w:rPr>
        <w:t xml:space="preserve"> teaching mathematics through inquiry-based teaching would be most beneficial for all students at varying ability levels in comparison to traditional teaching methods. </w:t>
      </w:r>
      <w:r w:rsidRPr="00D25040">
        <w:rPr>
          <w:color w:val="000000" w:themeColor="text1"/>
          <w:sz w:val="24"/>
          <w:szCs w:val="24"/>
        </w:rPr>
        <w:t xml:space="preserve">However, these data show that the impact of </w:t>
      </w:r>
      <w:r w:rsidR="001C21F3" w:rsidRPr="00D25040">
        <w:rPr>
          <w:color w:val="000000" w:themeColor="text1"/>
          <w:sz w:val="24"/>
          <w:szCs w:val="24"/>
        </w:rPr>
        <w:t xml:space="preserve">inquiry-based teaching methods did not </w:t>
      </w:r>
      <w:r w:rsidRPr="00D25040">
        <w:rPr>
          <w:color w:val="000000" w:themeColor="text1"/>
          <w:sz w:val="24"/>
          <w:szCs w:val="24"/>
        </w:rPr>
        <w:t>create a statistically significant (</w:t>
      </w:r>
      <w:r w:rsidRPr="00D25040">
        <w:rPr>
          <w:i/>
          <w:color w:val="000000" w:themeColor="text1"/>
          <w:sz w:val="24"/>
          <w:szCs w:val="24"/>
        </w:rPr>
        <w:t>p</w:t>
      </w:r>
      <w:r w:rsidR="00895385" w:rsidRPr="00D25040">
        <w:rPr>
          <w:color w:val="000000" w:themeColor="text1"/>
          <w:sz w:val="24"/>
          <w:szCs w:val="24"/>
        </w:rPr>
        <w:t>=0.294</w:t>
      </w:r>
      <w:r w:rsidRPr="00D25040">
        <w:rPr>
          <w:color w:val="000000" w:themeColor="text1"/>
          <w:sz w:val="24"/>
          <w:szCs w:val="24"/>
        </w:rPr>
        <w:t xml:space="preserve">) </w:t>
      </w:r>
      <w:r w:rsidR="00333C88" w:rsidRPr="00D25040">
        <w:rPr>
          <w:color w:val="000000" w:themeColor="text1"/>
          <w:sz w:val="24"/>
          <w:szCs w:val="24"/>
        </w:rPr>
        <w:t xml:space="preserve">difference </w:t>
      </w:r>
      <w:r w:rsidR="00895385" w:rsidRPr="00D25040">
        <w:rPr>
          <w:color w:val="000000" w:themeColor="text1"/>
          <w:sz w:val="24"/>
          <w:szCs w:val="24"/>
        </w:rPr>
        <w:t>for the low achieving students or a statistically significant (</w:t>
      </w:r>
      <w:r w:rsidR="00895385" w:rsidRPr="00D25040">
        <w:rPr>
          <w:i/>
          <w:color w:val="000000" w:themeColor="text1"/>
          <w:sz w:val="24"/>
          <w:szCs w:val="24"/>
        </w:rPr>
        <w:t>p</w:t>
      </w:r>
      <w:r w:rsidR="00333C88" w:rsidRPr="00D25040">
        <w:rPr>
          <w:color w:val="000000" w:themeColor="text1"/>
          <w:sz w:val="24"/>
          <w:szCs w:val="24"/>
        </w:rPr>
        <w:t>=0.168</w:t>
      </w:r>
      <w:r w:rsidR="00895385" w:rsidRPr="00D25040">
        <w:rPr>
          <w:color w:val="000000" w:themeColor="text1"/>
          <w:sz w:val="24"/>
          <w:szCs w:val="24"/>
        </w:rPr>
        <w:t>) difference for the high achieving students</w:t>
      </w:r>
      <w:r w:rsidRPr="00D25040">
        <w:rPr>
          <w:color w:val="000000" w:themeColor="text1"/>
          <w:sz w:val="24"/>
          <w:szCs w:val="24"/>
        </w:rPr>
        <w:t xml:space="preserve">.  </w:t>
      </w:r>
      <w:r w:rsidR="00333C88" w:rsidRPr="00D25040">
        <w:rPr>
          <w:color w:val="000000" w:themeColor="text1"/>
          <w:sz w:val="24"/>
          <w:szCs w:val="24"/>
        </w:rPr>
        <w:t>T</w:t>
      </w:r>
      <w:r w:rsidR="00721842" w:rsidRPr="00D25040">
        <w:rPr>
          <w:color w:val="000000" w:themeColor="text1"/>
          <w:sz w:val="24"/>
          <w:szCs w:val="24"/>
        </w:rPr>
        <w:t>he impact of traditional teaching methods for the low achieving students was statistically significant (</w:t>
      </w:r>
      <w:r w:rsidR="00721842" w:rsidRPr="00D25040">
        <w:rPr>
          <w:i/>
          <w:color w:val="000000" w:themeColor="text1"/>
          <w:sz w:val="24"/>
          <w:szCs w:val="24"/>
        </w:rPr>
        <w:t>p</w:t>
      </w:r>
      <w:r w:rsidR="00721842" w:rsidRPr="00D25040">
        <w:rPr>
          <w:color w:val="000000" w:themeColor="text1"/>
          <w:sz w:val="24"/>
          <w:szCs w:val="24"/>
        </w:rPr>
        <w:t xml:space="preserve">=0.001). </w:t>
      </w:r>
      <w:r w:rsidR="00333C88" w:rsidRPr="00D25040">
        <w:rPr>
          <w:color w:val="000000" w:themeColor="text1"/>
          <w:sz w:val="24"/>
          <w:szCs w:val="24"/>
        </w:rPr>
        <w:t>Conversely, t</w:t>
      </w:r>
      <w:r w:rsidR="00721842" w:rsidRPr="00D25040">
        <w:rPr>
          <w:color w:val="000000" w:themeColor="text1"/>
          <w:sz w:val="24"/>
          <w:szCs w:val="24"/>
        </w:rPr>
        <w:t>he tradit</w:t>
      </w:r>
      <w:r w:rsidR="00333C88" w:rsidRPr="00D25040">
        <w:rPr>
          <w:color w:val="000000" w:themeColor="text1"/>
          <w:sz w:val="24"/>
          <w:szCs w:val="24"/>
        </w:rPr>
        <w:t>ional teaching methods were</w:t>
      </w:r>
      <w:r w:rsidR="00721842" w:rsidRPr="00D25040">
        <w:rPr>
          <w:color w:val="000000" w:themeColor="text1"/>
          <w:sz w:val="24"/>
          <w:szCs w:val="24"/>
        </w:rPr>
        <w:t xml:space="preserve"> not statistically significant (</w:t>
      </w:r>
      <w:r w:rsidR="00721842" w:rsidRPr="00D25040">
        <w:rPr>
          <w:i/>
          <w:color w:val="000000" w:themeColor="text1"/>
          <w:sz w:val="24"/>
          <w:szCs w:val="24"/>
        </w:rPr>
        <w:t>p</w:t>
      </w:r>
      <w:r w:rsidR="00333C88" w:rsidRPr="00D25040">
        <w:rPr>
          <w:color w:val="000000" w:themeColor="text1"/>
          <w:sz w:val="24"/>
          <w:szCs w:val="24"/>
        </w:rPr>
        <w:t>=0.137</w:t>
      </w:r>
      <w:r w:rsidR="00721842" w:rsidRPr="00D25040">
        <w:rPr>
          <w:color w:val="000000" w:themeColor="text1"/>
          <w:sz w:val="24"/>
          <w:szCs w:val="24"/>
        </w:rPr>
        <w:t xml:space="preserve">) for the high achieving students.  </w:t>
      </w:r>
      <w:r w:rsidRPr="00D25040">
        <w:rPr>
          <w:color w:val="000000" w:themeColor="text1"/>
          <w:sz w:val="24"/>
          <w:szCs w:val="24"/>
        </w:rPr>
        <w:t>Therefore, these data suggest that</w:t>
      </w:r>
      <w:r w:rsidR="00333C88" w:rsidRPr="00D25040">
        <w:rPr>
          <w:color w:val="000000" w:themeColor="text1"/>
          <w:sz w:val="24"/>
          <w:szCs w:val="24"/>
        </w:rPr>
        <w:t xml:space="preserve"> teaching students using inquiry-based teaching methods had little to no effect on increasing </w:t>
      </w:r>
      <w:r w:rsidR="00897D30" w:rsidRPr="00D25040">
        <w:rPr>
          <w:color w:val="000000" w:themeColor="text1"/>
          <w:sz w:val="24"/>
          <w:szCs w:val="24"/>
        </w:rPr>
        <w:t xml:space="preserve">student </w:t>
      </w:r>
      <w:r w:rsidR="00832E57">
        <w:rPr>
          <w:color w:val="000000" w:themeColor="text1"/>
          <w:sz w:val="24"/>
          <w:szCs w:val="24"/>
        </w:rPr>
        <w:t xml:space="preserve">achievement </w:t>
      </w:r>
      <w:r w:rsidR="00897D30" w:rsidRPr="00D25040">
        <w:rPr>
          <w:color w:val="000000" w:themeColor="text1"/>
          <w:sz w:val="24"/>
          <w:szCs w:val="24"/>
        </w:rPr>
        <w:t>at varying level of abilities</w:t>
      </w:r>
      <w:r w:rsidR="00333C88" w:rsidRPr="00D25040">
        <w:rPr>
          <w:color w:val="000000" w:themeColor="text1"/>
          <w:sz w:val="24"/>
          <w:szCs w:val="24"/>
        </w:rPr>
        <w:t xml:space="preserve"> knowledge in the Math 10C clas</w:t>
      </w:r>
      <w:r w:rsidR="00897D30" w:rsidRPr="00D25040">
        <w:rPr>
          <w:color w:val="000000" w:themeColor="text1"/>
          <w:sz w:val="24"/>
          <w:szCs w:val="24"/>
        </w:rPr>
        <w:t>sroom.</w:t>
      </w:r>
    </w:p>
    <w:p w14:paraId="7AC633E6" w14:textId="4136033B" w:rsidR="0064571B" w:rsidRPr="00D25040" w:rsidRDefault="00AD625A" w:rsidP="004C6940">
      <w:pPr>
        <w:spacing w:line="480" w:lineRule="auto"/>
        <w:rPr>
          <w:b/>
          <w:color w:val="000000" w:themeColor="text1"/>
          <w:sz w:val="24"/>
          <w:szCs w:val="24"/>
        </w:rPr>
      </w:pPr>
      <w:r>
        <w:rPr>
          <w:b/>
          <w:color w:val="000000" w:themeColor="text1"/>
          <w:sz w:val="24"/>
          <w:szCs w:val="24"/>
        </w:rPr>
        <w:t xml:space="preserve">Quantitative Data </w:t>
      </w:r>
      <w:r w:rsidR="0064571B" w:rsidRPr="00D25040">
        <w:rPr>
          <w:b/>
          <w:color w:val="000000" w:themeColor="text1"/>
          <w:sz w:val="24"/>
          <w:szCs w:val="24"/>
        </w:rPr>
        <w:t>Analysis</w:t>
      </w:r>
    </w:p>
    <w:p w14:paraId="123F0D40" w14:textId="674C96EA" w:rsidR="007651C2" w:rsidRPr="00D25040" w:rsidRDefault="007651C2" w:rsidP="004C6940">
      <w:pPr>
        <w:spacing w:line="480" w:lineRule="auto"/>
        <w:rPr>
          <w:color w:val="000000" w:themeColor="text1"/>
          <w:sz w:val="24"/>
          <w:szCs w:val="24"/>
        </w:rPr>
      </w:pPr>
      <w:r w:rsidRPr="00D25040">
        <w:rPr>
          <w:b/>
          <w:color w:val="000000" w:themeColor="text1"/>
          <w:sz w:val="24"/>
          <w:szCs w:val="24"/>
        </w:rPr>
        <w:tab/>
      </w:r>
      <w:r w:rsidRPr="00D25040">
        <w:rPr>
          <w:color w:val="000000" w:themeColor="text1"/>
          <w:sz w:val="24"/>
          <w:szCs w:val="24"/>
        </w:rPr>
        <w:t>The</w:t>
      </w:r>
      <w:r w:rsidR="00A676D3" w:rsidRPr="00D25040">
        <w:rPr>
          <w:color w:val="000000" w:themeColor="text1"/>
          <w:sz w:val="24"/>
          <w:szCs w:val="24"/>
        </w:rPr>
        <w:t xml:space="preserve">se data show that the inquiry-based teaching methods did not increase student success at the various ability levels in the Math 10C classroom. </w:t>
      </w:r>
      <w:r w:rsidR="005813BE" w:rsidRPr="00D25040">
        <w:rPr>
          <w:color w:val="000000" w:themeColor="text1"/>
          <w:sz w:val="24"/>
          <w:szCs w:val="24"/>
        </w:rPr>
        <w:t>There was no statistical significance between inquiry-based teaching a</w:t>
      </w:r>
      <w:r w:rsidR="00832E57">
        <w:rPr>
          <w:color w:val="000000" w:themeColor="text1"/>
          <w:sz w:val="24"/>
          <w:szCs w:val="24"/>
        </w:rPr>
        <w:t>nd</w:t>
      </w:r>
      <w:r w:rsidR="005813BE" w:rsidRPr="00D25040">
        <w:rPr>
          <w:color w:val="000000" w:themeColor="text1"/>
          <w:sz w:val="24"/>
          <w:szCs w:val="24"/>
        </w:rPr>
        <w:t xml:space="preserve"> increased math scores for both the low and high ability. These data were based on a unit about </w:t>
      </w:r>
      <w:r w:rsidR="0098004A">
        <w:rPr>
          <w:color w:val="000000" w:themeColor="text1"/>
          <w:sz w:val="24"/>
          <w:szCs w:val="24"/>
        </w:rPr>
        <w:t>number systems, exponents, and radicals</w:t>
      </w:r>
      <w:r w:rsidR="005813BE" w:rsidRPr="00D25040">
        <w:rPr>
          <w:color w:val="000000" w:themeColor="text1"/>
          <w:sz w:val="24"/>
          <w:szCs w:val="24"/>
        </w:rPr>
        <w:t xml:space="preserve">. Although the students had experience with both of these concepts before many of the students struggled when the base and radicands of the problems were variables. Also, there is very little relevancy between exponent laws and simplifying radicals in the real world context. Thus it was difficult for students to engage in the inquiry-based lessons. The data implies that students did not respond well to the inquiry-based teaching methods. The students </w:t>
      </w:r>
      <w:r w:rsidR="00D946CB" w:rsidRPr="00D25040">
        <w:rPr>
          <w:color w:val="000000" w:themeColor="text1"/>
          <w:sz w:val="24"/>
          <w:szCs w:val="24"/>
        </w:rPr>
        <w:t xml:space="preserve">who </w:t>
      </w:r>
      <w:r w:rsidR="005813BE" w:rsidRPr="00D25040">
        <w:rPr>
          <w:color w:val="000000" w:themeColor="text1"/>
          <w:sz w:val="24"/>
          <w:szCs w:val="24"/>
        </w:rPr>
        <w:t>were categorized as low</w:t>
      </w:r>
      <w:r w:rsidR="008247A5" w:rsidRPr="00D25040">
        <w:rPr>
          <w:color w:val="000000" w:themeColor="text1"/>
          <w:sz w:val="24"/>
          <w:szCs w:val="24"/>
        </w:rPr>
        <w:t xml:space="preserve"> on the beginning of the year assessment (</w:t>
      </w:r>
      <w:r w:rsidR="008247A5" w:rsidRPr="00D25040">
        <w:rPr>
          <w:i/>
          <w:color w:val="000000" w:themeColor="text1"/>
          <w:sz w:val="24"/>
          <w:szCs w:val="24"/>
        </w:rPr>
        <w:t>M</w:t>
      </w:r>
      <w:r w:rsidR="008247A5" w:rsidRPr="00D25040">
        <w:rPr>
          <w:color w:val="000000" w:themeColor="text1"/>
          <w:sz w:val="24"/>
          <w:szCs w:val="24"/>
        </w:rPr>
        <w:t xml:space="preserve">=35.8, </w:t>
      </w:r>
      <w:r w:rsidR="008247A5" w:rsidRPr="00D25040">
        <w:rPr>
          <w:i/>
          <w:color w:val="000000" w:themeColor="text1"/>
          <w:sz w:val="24"/>
          <w:szCs w:val="24"/>
        </w:rPr>
        <w:t>SD</w:t>
      </w:r>
      <w:r w:rsidR="008247A5" w:rsidRPr="00D25040">
        <w:rPr>
          <w:color w:val="000000" w:themeColor="text1"/>
          <w:sz w:val="24"/>
          <w:szCs w:val="24"/>
        </w:rPr>
        <w:t>=7.7)</w:t>
      </w:r>
      <w:r w:rsidR="00D946CB" w:rsidRPr="00D25040">
        <w:rPr>
          <w:color w:val="000000" w:themeColor="text1"/>
          <w:sz w:val="24"/>
          <w:szCs w:val="24"/>
        </w:rPr>
        <w:t xml:space="preserve"> in the inquiry-based class</w:t>
      </w:r>
      <w:r w:rsidR="008247A5" w:rsidRPr="00D25040">
        <w:rPr>
          <w:color w:val="000000" w:themeColor="text1"/>
          <w:sz w:val="24"/>
          <w:szCs w:val="24"/>
        </w:rPr>
        <w:t xml:space="preserve"> </w:t>
      </w:r>
      <w:r w:rsidR="00D946CB" w:rsidRPr="00D25040">
        <w:rPr>
          <w:color w:val="000000" w:themeColor="text1"/>
          <w:sz w:val="24"/>
          <w:szCs w:val="24"/>
        </w:rPr>
        <w:t xml:space="preserve">continued to </w:t>
      </w:r>
      <w:r w:rsidR="008247A5" w:rsidRPr="00D25040">
        <w:rPr>
          <w:color w:val="000000" w:themeColor="text1"/>
          <w:sz w:val="24"/>
          <w:szCs w:val="24"/>
        </w:rPr>
        <w:t>score low on the summative chapter four exam (</w:t>
      </w:r>
      <w:r w:rsidR="008247A5" w:rsidRPr="00D25040">
        <w:rPr>
          <w:i/>
          <w:color w:val="000000" w:themeColor="text1"/>
          <w:sz w:val="24"/>
          <w:szCs w:val="24"/>
        </w:rPr>
        <w:t>M</w:t>
      </w:r>
      <w:r w:rsidR="008247A5" w:rsidRPr="00D25040">
        <w:rPr>
          <w:color w:val="000000" w:themeColor="text1"/>
          <w:sz w:val="24"/>
          <w:szCs w:val="24"/>
        </w:rPr>
        <w:t xml:space="preserve">=40.2, </w:t>
      </w:r>
      <w:r w:rsidR="008247A5" w:rsidRPr="00D25040">
        <w:rPr>
          <w:i/>
          <w:color w:val="000000" w:themeColor="text1"/>
          <w:sz w:val="24"/>
          <w:szCs w:val="24"/>
        </w:rPr>
        <w:t>SD</w:t>
      </w:r>
      <w:r w:rsidR="008247A5" w:rsidRPr="00D25040">
        <w:rPr>
          <w:color w:val="000000" w:themeColor="text1"/>
          <w:sz w:val="24"/>
          <w:szCs w:val="24"/>
        </w:rPr>
        <w:t>=17.3) (Table 1).</w:t>
      </w:r>
      <w:r w:rsidR="00D946CB" w:rsidRPr="00D25040">
        <w:rPr>
          <w:color w:val="000000" w:themeColor="text1"/>
          <w:sz w:val="24"/>
          <w:szCs w:val="24"/>
        </w:rPr>
        <w:t xml:space="preserve"> The remaining students in the inquiry-based class who were categorized as high from the beginning of the year assessment (</w:t>
      </w:r>
      <w:r w:rsidR="00D946CB" w:rsidRPr="00D25040">
        <w:rPr>
          <w:i/>
          <w:color w:val="000000" w:themeColor="text1"/>
          <w:sz w:val="24"/>
          <w:szCs w:val="24"/>
        </w:rPr>
        <w:t>M</w:t>
      </w:r>
      <w:r w:rsidR="00D946CB" w:rsidRPr="00D25040">
        <w:rPr>
          <w:color w:val="000000" w:themeColor="text1"/>
          <w:sz w:val="24"/>
          <w:szCs w:val="24"/>
        </w:rPr>
        <w:t xml:space="preserve">=64.3, </w:t>
      </w:r>
      <w:r w:rsidR="00D946CB" w:rsidRPr="00D25040">
        <w:rPr>
          <w:i/>
          <w:color w:val="000000" w:themeColor="text1"/>
          <w:sz w:val="24"/>
          <w:szCs w:val="24"/>
        </w:rPr>
        <w:t>SD</w:t>
      </w:r>
      <w:r w:rsidR="00D946CB" w:rsidRPr="00D25040">
        <w:rPr>
          <w:color w:val="000000" w:themeColor="text1"/>
          <w:sz w:val="24"/>
          <w:szCs w:val="24"/>
        </w:rPr>
        <w:t>=11.2) maintained an average abov</w:t>
      </w:r>
      <w:r w:rsidR="00AE1F96">
        <w:rPr>
          <w:color w:val="000000" w:themeColor="text1"/>
          <w:sz w:val="24"/>
          <w:szCs w:val="24"/>
        </w:rPr>
        <w:t>e 6</w:t>
      </w:r>
      <w:r w:rsidR="00537503" w:rsidRPr="00D25040">
        <w:rPr>
          <w:color w:val="000000" w:themeColor="text1"/>
          <w:sz w:val="24"/>
          <w:szCs w:val="24"/>
        </w:rPr>
        <w:t>0% on the summative chapter four</w:t>
      </w:r>
      <w:r w:rsidR="00D946CB" w:rsidRPr="00D25040">
        <w:rPr>
          <w:color w:val="000000" w:themeColor="text1"/>
          <w:sz w:val="24"/>
          <w:szCs w:val="24"/>
        </w:rPr>
        <w:t xml:space="preserve"> practice exam (</w:t>
      </w:r>
      <w:r w:rsidR="00D946CB" w:rsidRPr="00D25040">
        <w:rPr>
          <w:i/>
          <w:color w:val="000000" w:themeColor="text1"/>
          <w:sz w:val="24"/>
          <w:szCs w:val="24"/>
        </w:rPr>
        <w:t>M</w:t>
      </w:r>
      <w:r w:rsidR="00D946CB" w:rsidRPr="00D25040">
        <w:rPr>
          <w:color w:val="000000" w:themeColor="text1"/>
          <w:sz w:val="24"/>
          <w:szCs w:val="24"/>
        </w:rPr>
        <w:t xml:space="preserve">=72.5, </w:t>
      </w:r>
      <w:r w:rsidR="00D946CB" w:rsidRPr="00D25040">
        <w:rPr>
          <w:i/>
          <w:color w:val="000000" w:themeColor="text1"/>
          <w:sz w:val="24"/>
          <w:szCs w:val="24"/>
        </w:rPr>
        <w:t>SD</w:t>
      </w:r>
      <w:r w:rsidR="00D946CB" w:rsidRPr="00D25040">
        <w:rPr>
          <w:color w:val="000000" w:themeColor="text1"/>
          <w:sz w:val="24"/>
          <w:szCs w:val="24"/>
        </w:rPr>
        <w:t>=19.7) (Table 2).</w:t>
      </w:r>
      <w:r w:rsidR="00055825" w:rsidRPr="00D25040">
        <w:rPr>
          <w:color w:val="000000" w:themeColor="text1"/>
          <w:sz w:val="24"/>
          <w:szCs w:val="24"/>
        </w:rPr>
        <w:t xml:space="preserve"> Although the averages increased by at least 4% for both groups the t-test for the low ability (</w:t>
      </w:r>
      <w:r w:rsidR="00055825" w:rsidRPr="00D25040">
        <w:rPr>
          <w:i/>
          <w:color w:val="000000" w:themeColor="text1"/>
          <w:sz w:val="24"/>
          <w:szCs w:val="24"/>
        </w:rPr>
        <w:t>p</w:t>
      </w:r>
      <w:r w:rsidR="00055825" w:rsidRPr="00D25040">
        <w:rPr>
          <w:color w:val="000000" w:themeColor="text1"/>
          <w:sz w:val="24"/>
          <w:szCs w:val="24"/>
        </w:rPr>
        <w:t>=0.294) and the t-test for the high ability (</w:t>
      </w:r>
      <w:r w:rsidR="00055825" w:rsidRPr="00D25040">
        <w:rPr>
          <w:i/>
          <w:color w:val="000000" w:themeColor="text1"/>
          <w:sz w:val="24"/>
          <w:szCs w:val="24"/>
        </w:rPr>
        <w:t>p</w:t>
      </w:r>
      <w:r w:rsidR="00055825" w:rsidRPr="00D25040">
        <w:rPr>
          <w:color w:val="000000" w:themeColor="text1"/>
          <w:sz w:val="24"/>
          <w:szCs w:val="24"/>
        </w:rPr>
        <w:t>=0.168) students imp</w:t>
      </w:r>
      <w:r w:rsidR="00C318F0">
        <w:rPr>
          <w:color w:val="000000" w:themeColor="text1"/>
          <w:sz w:val="24"/>
          <w:szCs w:val="24"/>
        </w:rPr>
        <w:t>lied that the learning gains were</w:t>
      </w:r>
      <w:r w:rsidR="00055825" w:rsidRPr="00D25040">
        <w:rPr>
          <w:color w:val="000000" w:themeColor="text1"/>
          <w:sz w:val="24"/>
          <w:szCs w:val="24"/>
        </w:rPr>
        <w:t xml:space="preserve"> not </w:t>
      </w:r>
      <w:r w:rsidR="00AA0647" w:rsidRPr="00D25040">
        <w:rPr>
          <w:color w:val="000000" w:themeColor="text1"/>
          <w:sz w:val="24"/>
          <w:szCs w:val="24"/>
        </w:rPr>
        <w:t xml:space="preserve">statistically significant. </w:t>
      </w:r>
    </w:p>
    <w:p w14:paraId="442620E8" w14:textId="550124F8" w:rsidR="005C294A" w:rsidRDefault="00832E57" w:rsidP="004C6940">
      <w:pPr>
        <w:spacing w:line="480" w:lineRule="auto"/>
        <w:ind w:firstLine="720"/>
        <w:rPr>
          <w:color w:val="000000" w:themeColor="text1"/>
          <w:sz w:val="24"/>
          <w:szCs w:val="24"/>
        </w:rPr>
      </w:pPr>
      <w:r>
        <w:rPr>
          <w:color w:val="000000" w:themeColor="text1"/>
          <w:sz w:val="24"/>
          <w:szCs w:val="24"/>
        </w:rPr>
        <w:t>The data also indicate</w:t>
      </w:r>
      <w:r w:rsidR="005C294A" w:rsidRPr="00D25040">
        <w:rPr>
          <w:color w:val="000000" w:themeColor="text1"/>
          <w:sz w:val="24"/>
          <w:szCs w:val="24"/>
        </w:rPr>
        <w:t xml:space="preserve"> that the low group students responded better to the traditional teaching methods in comparison to the higher ability students. The students who were categorized as low on the beginning of the year assessment (</w:t>
      </w:r>
      <w:r w:rsidR="005C294A" w:rsidRPr="00D25040">
        <w:rPr>
          <w:i/>
          <w:color w:val="000000" w:themeColor="text1"/>
          <w:sz w:val="24"/>
          <w:szCs w:val="24"/>
        </w:rPr>
        <w:t>M</w:t>
      </w:r>
      <w:r w:rsidR="005C294A" w:rsidRPr="00D25040">
        <w:rPr>
          <w:color w:val="000000" w:themeColor="text1"/>
          <w:sz w:val="24"/>
          <w:szCs w:val="24"/>
        </w:rPr>
        <w:t xml:space="preserve">=31.1, </w:t>
      </w:r>
      <w:r w:rsidR="005C294A" w:rsidRPr="00D25040">
        <w:rPr>
          <w:i/>
          <w:color w:val="000000" w:themeColor="text1"/>
          <w:sz w:val="24"/>
          <w:szCs w:val="24"/>
        </w:rPr>
        <w:t>SD</w:t>
      </w:r>
      <w:r w:rsidR="005C294A" w:rsidRPr="00D25040">
        <w:rPr>
          <w:color w:val="000000" w:themeColor="text1"/>
          <w:sz w:val="24"/>
          <w:szCs w:val="24"/>
        </w:rPr>
        <w:t>=12.2) in the traditional class scored much better on chapter four exam (</w:t>
      </w:r>
      <w:r w:rsidR="005C294A" w:rsidRPr="00D25040">
        <w:rPr>
          <w:i/>
          <w:color w:val="000000" w:themeColor="text1"/>
          <w:sz w:val="24"/>
          <w:szCs w:val="24"/>
        </w:rPr>
        <w:t>M</w:t>
      </w:r>
      <w:r w:rsidR="005C294A" w:rsidRPr="00D25040">
        <w:rPr>
          <w:color w:val="000000" w:themeColor="text1"/>
          <w:sz w:val="24"/>
          <w:szCs w:val="24"/>
        </w:rPr>
        <w:t xml:space="preserve">=50.1, </w:t>
      </w:r>
      <w:r w:rsidR="005C294A" w:rsidRPr="00D25040">
        <w:rPr>
          <w:i/>
          <w:color w:val="000000" w:themeColor="text1"/>
          <w:sz w:val="24"/>
          <w:szCs w:val="24"/>
        </w:rPr>
        <w:t>SD</w:t>
      </w:r>
      <w:r w:rsidR="005C294A" w:rsidRPr="00D25040">
        <w:rPr>
          <w:color w:val="000000" w:themeColor="text1"/>
          <w:sz w:val="24"/>
          <w:szCs w:val="24"/>
        </w:rPr>
        <w:t>=19.4) (Table 1). The low ability group’s learning gains in the traditional class was a result of the teaching methods used (</w:t>
      </w:r>
      <w:r w:rsidR="005C294A" w:rsidRPr="00D25040">
        <w:rPr>
          <w:i/>
          <w:color w:val="000000" w:themeColor="text1"/>
          <w:sz w:val="24"/>
          <w:szCs w:val="24"/>
        </w:rPr>
        <w:t>p</w:t>
      </w:r>
      <w:r w:rsidR="005C294A" w:rsidRPr="00D25040">
        <w:rPr>
          <w:color w:val="000000" w:themeColor="text1"/>
          <w:sz w:val="24"/>
          <w:szCs w:val="24"/>
        </w:rPr>
        <w:t xml:space="preserve">&lt;0.005). </w:t>
      </w:r>
      <w:r w:rsidR="00537503" w:rsidRPr="00D25040">
        <w:rPr>
          <w:color w:val="000000" w:themeColor="text1"/>
          <w:sz w:val="24"/>
          <w:szCs w:val="24"/>
        </w:rPr>
        <w:t>The high ability students in the traditional class had learning gains; however, the learning gains were not as statistically significant (</w:t>
      </w:r>
      <w:r w:rsidR="00E6357B" w:rsidRPr="00D25040">
        <w:rPr>
          <w:i/>
          <w:color w:val="000000" w:themeColor="text1"/>
          <w:sz w:val="24"/>
          <w:szCs w:val="24"/>
        </w:rPr>
        <w:t>p</w:t>
      </w:r>
      <w:r w:rsidR="00E6357B" w:rsidRPr="00D25040">
        <w:rPr>
          <w:color w:val="000000" w:themeColor="text1"/>
          <w:sz w:val="24"/>
          <w:szCs w:val="24"/>
        </w:rPr>
        <w:t>=0.137</w:t>
      </w:r>
      <w:r w:rsidR="00537503" w:rsidRPr="00D25040">
        <w:rPr>
          <w:color w:val="000000" w:themeColor="text1"/>
          <w:sz w:val="24"/>
          <w:szCs w:val="24"/>
        </w:rPr>
        <w:t>) as the low ability students in the same class.</w:t>
      </w:r>
    </w:p>
    <w:p w14:paraId="5F21716F" w14:textId="5C058E7A" w:rsidR="002D1BC1" w:rsidRPr="00D25040" w:rsidRDefault="002D1BC1" w:rsidP="004C6940">
      <w:pPr>
        <w:spacing w:line="480" w:lineRule="auto"/>
        <w:ind w:firstLine="720"/>
        <w:rPr>
          <w:color w:val="000000" w:themeColor="text1"/>
          <w:sz w:val="24"/>
          <w:szCs w:val="24"/>
        </w:rPr>
      </w:pPr>
      <w:r>
        <w:rPr>
          <w:color w:val="000000" w:themeColor="text1"/>
          <w:sz w:val="24"/>
          <w:szCs w:val="24"/>
        </w:rPr>
        <w:t xml:space="preserve">One of the reasons that neither of the high ability groups from the inquiry-based and traditional classes did not have statistically significant gains could have been a result of a ceiling effect. It is unlikely that both of the high achieving groups did not learn any content from the either teaching methods. The pretest averages for the high achieving groups </w:t>
      </w:r>
      <w:r w:rsidR="00ED58C4">
        <w:rPr>
          <w:color w:val="000000" w:themeColor="text1"/>
          <w:sz w:val="24"/>
          <w:szCs w:val="24"/>
        </w:rPr>
        <w:t>were high at the beginning of the study; therefore, making it challenging to increase the learning gains significantly over the course of the unit.</w:t>
      </w:r>
    </w:p>
    <w:p w14:paraId="2439E748" w14:textId="7C1692B3" w:rsidR="0064571B" w:rsidRPr="00D25040" w:rsidRDefault="00010C97" w:rsidP="004C6940">
      <w:pPr>
        <w:spacing w:line="480" w:lineRule="auto"/>
        <w:rPr>
          <w:b/>
          <w:color w:val="000000" w:themeColor="text1"/>
          <w:sz w:val="24"/>
          <w:szCs w:val="24"/>
        </w:rPr>
      </w:pPr>
      <w:r w:rsidRPr="00D25040">
        <w:rPr>
          <w:color w:val="000000" w:themeColor="text1"/>
          <w:sz w:val="24"/>
          <w:szCs w:val="24"/>
        </w:rPr>
        <w:tab/>
        <w:t>Overall, the data implies that students did not respond very well to the inquiry-based teaching approaches. Additionally, it appears as though students are not achieving statistically significant learning gains for chapter four. Although, when comparing t-tests among the four different groups these data show that the traditional metho</w:t>
      </w:r>
      <w:r w:rsidR="001A0151" w:rsidRPr="00D25040">
        <w:rPr>
          <w:color w:val="000000" w:themeColor="text1"/>
          <w:sz w:val="24"/>
          <w:szCs w:val="24"/>
        </w:rPr>
        <w:t>d is more favorable for</w:t>
      </w:r>
      <w:r w:rsidR="00ED58C4">
        <w:rPr>
          <w:color w:val="000000" w:themeColor="text1"/>
          <w:sz w:val="24"/>
          <w:szCs w:val="24"/>
        </w:rPr>
        <w:t xml:space="preserve"> the students who scored below 6</w:t>
      </w:r>
      <w:r w:rsidR="001A0151" w:rsidRPr="00D25040">
        <w:rPr>
          <w:color w:val="000000" w:themeColor="text1"/>
          <w:sz w:val="24"/>
          <w:szCs w:val="24"/>
        </w:rPr>
        <w:t>0% on the beginning of the year formative assessment.</w:t>
      </w:r>
      <w:r w:rsidR="00ED58C4">
        <w:rPr>
          <w:color w:val="000000" w:themeColor="text1"/>
          <w:sz w:val="24"/>
          <w:szCs w:val="24"/>
        </w:rPr>
        <w:t xml:space="preserve"> This learning gain </w:t>
      </w:r>
      <w:r w:rsidR="00153098">
        <w:rPr>
          <w:color w:val="000000" w:themeColor="text1"/>
          <w:sz w:val="24"/>
          <w:szCs w:val="24"/>
        </w:rPr>
        <w:t xml:space="preserve">statistically </w:t>
      </w:r>
      <w:r w:rsidR="00ED58C4">
        <w:rPr>
          <w:color w:val="000000" w:themeColor="text1"/>
          <w:sz w:val="24"/>
          <w:szCs w:val="24"/>
        </w:rPr>
        <w:t>was more significant than the low ability students in the inquiry-based class.</w:t>
      </w:r>
    </w:p>
    <w:p w14:paraId="5C6A74EB" w14:textId="3A980A7A" w:rsidR="0064571B" w:rsidRPr="00D25040" w:rsidRDefault="00897D30" w:rsidP="004C6940">
      <w:pPr>
        <w:spacing w:line="480" w:lineRule="auto"/>
        <w:rPr>
          <w:color w:val="000000" w:themeColor="text1"/>
          <w:sz w:val="24"/>
          <w:szCs w:val="24"/>
        </w:rPr>
      </w:pPr>
      <w:r w:rsidRPr="00D25040">
        <w:rPr>
          <w:color w:val="000000" w:themeColor="text1"/>
          <w:sz w:val="24"/>
          <w:szCs w:val="24"/>
        </w:rPr>
        <w:t>Table 1</w:t>
      </w:r>
    </w:p>
    <w:p w14:paraId="7B144B50" w14:textId="04B1029A" w:rsidR="0064571B" w:rsidRPr="00D25040" w:rsidRDefault="00897D30" w:rsidP="004C6940">
      <w:pPr>
        <w:rPr>
          <w:i/>
          <w:color w:val="000000" w:themeColor="text1"/>
          <w:sz w:val="24"/>
          <w:szCs w:val="24"/>
        </w:rPr>
      </w:pPr>
      <w:r w:rsidRPr="00D25040">
        <w:rPr>
          <w:i/>
          <w:color w:val="000000" w:themeColor="text1"/>
          <w:sz w:val="24"/>
          <w:szCs w:val="24"/>
        </w:rPr>
        <w:t>Paired</w:t>
      </w:r>
      <w:r w:rsidR="0064571B" w:rsidRPr="00D25040">
        <w:rPr>
          <w:i/>
          <w:color w:val="000000" w:themeColor="text1"/>
          <w:sz w:val="24"/>
          <w:szCs w:val="24"/>
        </w:rPr>
        <w:t xml:space="preserve"> </w:t>
      </w:r>
      <w:r w:rsidR="0064571B" w:rsidRPr="00D25040">
        <w:rPr>
          <w:color w:val="000000" w:themeColor="text1"/>
          <w:sz w:val="24"/>
          <w:szCs w:val="24"/>
        </w:rPr>
        <w:t>t</w:t>
      </w:r>
      <w:r w:rsidR="0064571B" w:rsidRPr="00D25040">
        <w:rPr>
          <w:i/>
          <w:color w:val="000000" w:themeColor="text1"/>
          <w:sz w:val="24"/>
          <w:szCs w:val="24"/>
        </w:rPr>
        <w:t xml:space="preserve">-test - Pretest vs. Posttest Scores for </w:t>
      </w:r>
      <w:r w:rsidR="00035F4B" w:rsidRPr="00D25040">
        <w:rPr>
          <w:i/>
          <w:color w:val="000000" w:themeColor="text1"/>
          <w:sz w:val="24"/>
          <w:szCs w:val="24"/>
        </w:rPr>
        <w:t>Low Ability Students</w:t>
      </w:r>
    </w:p>
    <w:p w14:paraId="549A2423" w14:textId="77777777" w:rsidR="0064571B" w:rsidRPr="00D25040" w:rsidRDefault="0064571B" w:rsidP="004C6940">
      <w:pPr>
        <w:rPr>
          <w:i/>
          <w:color w:val="000000" w:themeColor="text1"/>
          <w:sz w:val="24"/>
          <w:szCs w:val="24"/>
        </w:rPr>
      </w:pPr>
    </w:p>
    <w:tbl>
      <w:tblPr>
        <w:tblStyle w:val="TableGrid"/>
        <w:tblW w:w="0" w:type="auto"/>
        <w:tblLook w:val="04A0" w:firstRow="1" w:lastRow="0" w:firstColumn="1" w:lastColumn="0" w:noHBand="0" w:noVBand="1"/>
      </w:tblPr>
      <w:tblGrid>
        <w:gridCol w:w="1476"/>
        <w:gridCol w:w="1321"/>
        <w:gridCol w:w="1231"/>
        <w:gridCol w:w="1319"/>
        <w:gridCol w:w="95"/>
        <w:gridCol w:w="776"/>
        <w:gridCol w:w="242"/>
        <w:gridCol w:w="102"/>
        <w:gridCol w:w="99"/>
        <w:gridCol w:w="1192"/>
        <w:gridCol w:w="92"/>
        <w:gridCol w:w="713"/>
        <w:gridCol w:w="266"/>
        <w:gridCol w:w="183"/>
      </w:tblGrid>
      <w:tr w:rsidR="0064571B" w:rsidRPr="00D25040" w14:paraId="7A9039C4" w14:textId="77777777" w:rsidTr="0064571B">
        <w:trPr>
          <w:gridAfter w:val="1"/>
          <w:wAfter w:w="183" w:type="dxa"/>
          <w:trHeight w:val="567"/>
        </w:trPr>
        <w:tc>
          <w:tcPr>
            <w:tcW w:w="1476" w:type="dxa"/>
            <w:tcBorders>
              <w:left w:val="nil"/>
              <w:bottom w:val="nil"/>
              <w:right w:val="nil"/>
            </w:tcBorders>
          </w:tcPr>
          <w:p w14:paraId="38693818" w14:textId="77777777" w:rsidR="0064571B" w:rsidRPr="00D25040" w:rsidRDefault="0064571B" w:rsidP="004C6940">
            <w:pPr>
              <w:rPr>
                <w:color w:val="000000" w:themeColor="text1"/>
                <w:sz w:val="24"/>
                <w:szCs w:val="24"/>
              </w:rPr>
            </w:pPr>
          </w:p>
        </w:tc>
        <w:tc>
          <w:tcPr>
            <w:tcW w:w="2552" w:type="dxa"/>
            <w:gridSpan w:val="2"/>
            <w:tcBorders>
              <w:left w:val="nil"/>
              <w:bottom w:val="single" w:sz="4" w:space="0" w:color="auto"/>
              <w:right w:val="nil"/>
            </w:tcBorders>
          </w:tcPr>
          <w:p w14:paraId="3799C158" w14:textId="77777777" w:rsidR="0064571B" w:rsidRPr="00D25040" w:rsidRDefault="0064571B" w:rsidP="004C6940">
            <w:pPr>
              <w:rPr>
                <w:color w:val="000000" w:themeColor="text1"/>
                <w:sz w:val="24"/>
                <w:szCs w:val="24"/>
              </w:rPr>
            </w:pPr>
            <w:r w:rsidRPr="00D25040">
              <w:rPr>
                <w:color w:val="000000" w:themeColor="text1"/>
                <w:sz w:val="24"/>
                <w:szCs w:val="24"/>
              </w:rPr>
              <w:t>Pretest Scores</w:t>
            </w:r>
          </w:p>
          <w:p w14:paraId="209B1188" w14:textId="4445B4D4" w:rsidR="0064571B" w:rsidRPr="00D25040" w:rsidRDefault="0064571B" w:rsidP="004C6940">
            <w:pPr>
              <w:rPr>
                <w:color w:val="000000" w:themeColor="text1"/>
                <w:sz w:val="24"/>
                <w:szCs w:val="24"/>
              </w:rPr>
            </w:pPr>
            <w:r w:rsidRPr="00D25040">
              <w:rPr>
                <w:i/>
                <w:color w:val="000000" w:themeColor="text1"/>
                <w:sz w:val="24"/>
                <w:szCs w:val="24"/>
              </w:rPr>
              <w:t>N</w:t>
            </w:r>
            <w:r w:rsidR="00035F4B" w:rsidRPr="00D25040">
              <w:rPr>
                <w:color w:val="000000" w:themeColor="text1"/>
                <w:sz w:val="24"/>
                <w:szCs w:val="24"/>
              </w:rPr>
              <w:t>=24</w:t>
            </w:r>
          </w:p>
        </w:tc>
        <w:tc>
          <w:tcPr>
            <w:tcW w:w="2432" w:type="dxa"/>
            <w:gridSpan w:val="4"/>
            <w:tcBorders>
              <w:left w:val="nil"/>
              <w:bottom w:val="single" w:sz="4" w:space="0" w:color="auto"/>
              <w:right w:val="nil"/>
            </w:tcBorders>
          </w:tcPr>
          <w:p w14:paraId="77FC4999" w14:textId="77777777" w:rsidR="0064571B" w:rsidRPr="00D25040" w:rsidRDefault="0064571B" w:rsidP="004C6940">
            <w:pPr>
              <w:rPr>
                <w:color w:val="000000" w:themeColor="text1"/>
                <w:sz w:val="24"/>
                <w:szCs w:val="24"/>
              </w:rPr>
            </w:pPr>
            <w:r w:rsidRPr="00D25040">
              <w:rPr>
                <w:color w:val="000000" w:themeColor="text1"/>
                <w:sz w:val="24"/>
                <w:szCs w:val="24"/>
              </w:rPr>
              <w:t>Posttest Scores</w:t>
            </w:r>
          </w:p>
          <w:p w14:paraId="24A05F74" w14:textId="2CE7A288" w:rsidR="0064571B" w:rsidRPr="00D25040" w:rsidRDefault="0064571B" w:rsidP="004C6940">
            <w:pPr>
              <w:rPr>
                <w:color w:val="000000" w:themeColor="text1"/>
                <w:sz w:val="24"/>
                <w:szCs w:val="24"/>
              </w:rPr>
            </w:pPr>
            <w:r w:rsidRPr="00D25040">
              <w:rPr>
                <w:i/>
                <w:color w:val="000000" w:themeColor="text1"/>
                <w:sz w:val="24"/>
                <w:szCs w:val="24"/>
              </w:rPr>
              <w:t>N</w:t>
            </w:r>
            <w:r w:rsidR="000F4EC8" w:rsidRPr="00D25040">
              <w:rPr>
                <w:color w:val="000000" w:themeColor="text1"/>
                <w:sz w:val="24"/>
                <w:szCs w:val="24"/>
              </w:rPr>
              <w:t>=</w:t>
            </w:r>
            <w:r w:rsidR="00035F4B" w:rsidRPr="00D25040">
              <w:rPr>
                <w:color w:val="000000" w:themeColor="text1"/>
                <w:sz w:val="24"/>
                <w:szCs w:val="24"/>
              </w:rPr>
              <w:t>24</w:t>
            </w:r>
          </w:p>
        </w:tc>
        <w:tc>
          <w:tcPr>
            <w:tcW w:w="2464" w:type="dxa"/>
            <w:gridSpan w:val="6"/>
            <w:tcBorders>
              <w:left w:val="nil"/>
              <w:bottom w:val="nil"/>
              <w:right w:val="nil"/>
            </w:tcBorders>
          </w:tcPr>
          <w:p w14:paraId="377ABC22" w14:textId="77777777" w:rsidR="0064571B" w:rsidRPr="00D25040" w:rsidRDefault="0064571B" w:rsidP="004C6940">
            <w:pPr>
              <w:ind w:right="158"/>
              <w:rPr>
                <w:color w:val="000000" w:themeColor="text1"/>
                <w:sz w:val="24"/>
                <w:szCs w:val="24"/>
              </w:rPr>
            </w:pPr>
          </w:p>
        </w:tc>
      </w:tr>
      <w:tr w:rsidR="0064571B" w:rsidRPr="00D25040" w14:paraId="5CE66074" w14:textId="77777777" w:rsidTr="0064571B">
        <w:trPr>
          <w:gridAfter w:val="2"/>
          <w:wAfter w:w="449" w:type="dxa"/>
          <w:trHeight w:val="271"/>
        </w:trPr>
        <w:tc>
          <w:tcPr>
            <w:tcW w:w="4028" w:type="dxa"/>
            <w:gridSpan w:val="3"/>
            <w:tcBorders>
              <w:top w:val="nil"/>
              <w:left w:val="nil"/>
              <w:bottom w:val="nil"/>
              <w:right w:val="nil"/>
            </w:tcBorders>
          </w:tcPr>
          <w:p w14:paraId="0A05171B" w14:textId="77777777" w:rsidR="0064571B" w:rsidRPr="00D25040" w:rsidRDefault="0064571B" w:rsidP="004C6940">
            <w:pPr>
              <w:rPr>
                <w:color w:val="000000" w:themeColor="text1"/>
                <w:sz w:val="24"/>
                <w:szCs w:val="24"/>
              </w:rPr>
            </w:pPr>
          </w:p>
        </w:tc>
        <w:tc>
          <w:tcPr>
            <w:tcW w:w="1319" w:type="dxa"/>
            <w:tcBorders>
              <w:top w:val="nil"/>
              <w:left w:val="nil"/>
              <w:bottom w:val="nil"/>
              <w:right w:val="nil"/>
            </w:tcBorders>
          </w:tcPr>
          <w:p w14:paraId="005426E0" w14:textId="77777777" w:rsidR="0064571B" w:rsidRPr="00D25040" w:rsidRDefault="0064571B" w:rsidP="004C6940">
            <w:pPr>
              <w:rPr>
                <w:color w:val="000000" w:themeColor="text1"/>
                <w:sz w:val="24"/>
                <w:szCs w:val="24"/>
              </w:rPr>
            </w:pPr>
          </w:p>
        </w:tc>
        <w:tc>
          <w:tcPr>
            <w:tcW w:w="871" w:type="dxa"/>
            <w:gridSpan w:val="2"/>
            <w:tcBorders>
              <w:top w:val="nil"/>
              <w:left w:val="nil"/>
              <w:bottom w:val="nil"/>
              <w:right w:val="nil"/>
            </w:tcBorders>
          </w:tcPr>
          <w:p w14:paraId="37641E77" w14:textId="77777777" w:rsidR="0064571B" w:rsidRPr="00D25040" w:rsidRDefault="0064571B" w:rsidP="004C6940">
            <w:pPr>
              <w:rPr>
                <w:color w:val="000000" w:themeColor="text1"/>
                <w:sz w:val="24"/>
                <w:szCs w:val="24"/>
              </w:rPr>
            </w:pPr>
          </w:p>
        </w:tc>
        <w:tc>
          <w:tcPr>
            <w:tcW w:w="1727" w:type="dxa"/>
            <w:gridSpan w:val="5"/>
            <w:tcBorders>
              <w:top w:val="nil"/>
              <w:left w:val="nil"/>
              <w:bottom w:val="nil"/>
              <w:right w:val="nil"/>
            </w:tcBorders>
          </w:tcPr>
          <w:p w14:paraId="16F192D3" w14:textId="77777777" w:rsidR="0064571B" w:rsidRPr="00D25040" w:rsidRDefault="0064571B" w:rsidP="004C6940">
            <w:pPr>
              <w:rPr>
                <w:color w:val="000000" w:themeColor="text1"/>
                <w:sz w:val="24"/>
                <w:szCs w:val="24"/>
              </w:rPr>
            </w:pPr>
          </w:p>
        </w:tc>
        <w:tc>
          <w:tcPr>
            <w:tcW w:w="713" w:type="dxa"/>
            <w:tcBorders>
              <w:top w:val="nil"/>
              <w:left w:val="nil"/>
              <w:bottom w:val="nil"/>
              <w:right w:val="nil"/>
            </w:tcBorders>
          </w:tcPr>
          <w:p w14:paraId="4C9A777A" w14:textId="77777777" w:rsidR="0064571B" w:rsidRPr="00D25040" w:rsidRDefault="0064571B" w:rsidP="004C6940">
            <w:pPr>
              <w:rPr>
                <w:color w:val="000000" w:themeColor="text1"/>
                <w:sz w:val="24"/>
                <w:szCs w:val="24"/>
              </w:rPr>
            </w:pPr>
          </w:p>
        </w:tc>
      </w:tr>
      <w:tr w:rsidR="0064571B" w:rsidRPr="00D25040" w14:paraId="43BE7250" w14:textId="77777777" w:rsidTr="00035F4B">
        <w:trPr>
          <w:gridAfter w:val="2"/>
          <w:wAfter w:w="449" w:type="dxa"/>
          <w:trHeight w:val="283"/>
        </w:trPr>
        <w:tc>
          <w:tcPr>
            <w:tcW w:w="1476" w:type="dxa"/>
            <w:tcBorders>
              <w:top w:val="nil"/>
              <w:left w:val="nil"/>
              <w:bottom w:val="single" w:sz="4" w:space="0" w:color="auto"/>
              <w:right w:val="nil"/>
            </w:tcBorders>
          </w:tcPr>
          <w:p w14:paraId="0D0F39E1" w14:textId="77777777" w:rsidR="0064571B" w:rsidRPr="00D25040" w:rsidRDefault="0064571B" w:rsidP="004C6940">
            <w:pPr>
              <w:rPr>
                <w:color w:val="000000" w:themeColor="text1"/>
                <w:sz w:val="24"/>
                <w:szCs w:val="24"/>
              </w:rPr>
            </w:pPr>
            <w:r w:rsidRPr="00D25040">
              <w:rPr>
                <w:color w:val="000000" w:themeColor="text1"/>
                <w:sz w:val="24"/>
                <w:szCs w:val="24"/>
              </w:rPr>
              <w:t>Subscale</w:t>
            </w:r>
          </w:p>
        </w:tc>
        <w:tc>
          <w:tcPr>
            <w:tcW w:w="1321" w:type="dxa"/>
            <w:tcBorders>
              <w:top w:val="nil"/>
              <w:left w:val="nil"/>
              <w:bottom w:val="single" w:sz="4" w:space="0" w:color="auto"/>
              <w:right w:val="nil"/>
            </w:tcBorders>
          </w:tcPr>
          <w:p w14:paraId="1C2C2A42" w14:textId="77777777" w:rsidR="0064571B" w:rsidRPr="00D25040" w:rsidRDefault="0064571B" w:rsidP="004C6940">
            <w:pPr>
              <w:rPr>
                <w:color w:val="000000" w:themeColor="text1"/>
                <w:sz w:val="24"/>
                <w:szCs w:val="24"/>
              </w:rPr>
            </w:pPr>
            <w:r w:rsidRPr="00D25040">
              <w:rPr>
                <w:color w:val="000000" w:themeColor="text1"/>
                <w:sz w:val="24"/>
                <w:szCs w:val="24"/>
              </w:rPr>
              <w:t>Mean</w:t>
            </w:r>
          </w:p>
        </w:tc>
        <w:tc>
          <w:tcPr>
            <w:tcW w:w="1231" w:type="dxa"/>
            <w:tcBorders>
              <w:top w:val="nil"/>
              <w:left w:val="nil"/>
              <w:bottom w:val="single" w:sz="4" w:space="0" w:color="auto"/>
              <w:right w:val="nil"/>
            </w:tcBorders>
          </w:tcPr>
          <w:p w14:paraId="655DDE52" w14:textId="77777777" w:rsidR="0064571B" w:rsidRPr="00D25040" w:rsidRDefault="0064571B" w:rsidP="004C6940">
            <w:pPr>
              <w:rPr>
                <w:color w:val="000000" w:themeColor="text1"/>
                <w:sz w:val="24"/>
                <w:szCs w:val="24"/>
              </w:rPr>
            </w:pPr>
            <w:r w:rsidRPr="00D25040">
              <w:rPr>
                <w:color w:val="000000" w:themeColor="text1"/>
                <w:sz w:val="24"/>
                <w:szCs w:val="24"/>
              </w:rPr>
              <w:t>SD</w:t>
            </w:r>
          </w:p>
        </w:tc>
        <w:tc>
          <w:tcPr>
            <w:tcW w:w="1414" w:type="dxa"/>
            <w:gridSpan w:val="2"/>
            <w:tcBorders>
              <w:top w:val="nil"/>
              <w:left w:val="nil"/>
              <w:bottom w:val="single" w:sz="4" w:space="0" w:color="auto"/>
              <w:right w:val="nil"/>
            </w:tcBorders>
          </w:tcPr>
          <w:p w14:paraId="5D26E068" w14:textId="77777777" w:rsidR="0064571B" w:rsidRPr="00D25040" w:rsidRDefault="0064571B" w:rsidP="004C6940">
            <w:pPr>
              <w:rPr>
                <w:color w:val="000000" w:themeColor="text1"/>
                <w:sz w:val="24"/>
                <w:szCs w:val="24"/>
              </w:rPr>
            </w:pPr>
            <w:r w:rsidRPr="00D25040">
              <w:rPr>
                <w:color w:val="000000" w:themeColor="text1"/>
                <w:sz w:val="24"/>
                <w:szCs w:val="24"/>
              </w:rPr>
              <w:t>Mean</w:t>
            </w:r>
          </w:p>
        </w:tc>
        <w:tc>
          <w:tcPr>
            <w:tcW w:w="1120" w:type="dxa"/>
            <w:gridSpan w:val="3"/>
            <w:tcBorders>
              <w:top w:val="nil"/>
              <w:left w:val="nil"/>
              <w:bottom w:val="single" w:sz="4" w:space="0" w:color="auto"/>
              <w:right w:val="nil"/>
            </w:tcBorders>
          </w:tcPr>
          <w:p w14:paraId="377BCFD9" w14:textId="77777777" w:rsidR="0064571B" w:rsidRPr="00D25040" w:rsidRDefault="0064571B" w:rsidP="004C6940">
            <w:pPr>
              <w:rPr>
                <w:color w:val="000000" w:themeColor="text1"/>
                <w:sz w:val="24"/>
                <w:szCs w:val="24"/>
              </w:rPr>
            </w:pPr>
            <w:r w:rsidRPr="00D25040">
              <w:rPr>
                <w:color w:val="000000" w:themeColor="text1"/>
                <w:sz w:val="24"/>
                <w:szCs w:val="24"/>
              </w:rPr>
              <w:t>SD</w:t>
            </w:r>
          </w:p>
        </w:tc>
        <w:tc>
          <w:tcPr>
            <w:tcW w:w="1383" w:type="dxa"/>
            <w:gridSpan w:val="3"/>
            <w:tcBorders>
              <w:top w:val="nil"/>
              <w:left w:val="nil"/>
              <w:bottom w:val="single" w:sz="4" w:space="0" w:color="auto"/>
              <w:right w:val="nil"/>
            </w:tcBorders>
          </w:tcPr>
          <w:p w14:paraId="23E1780C" w14:textId="77777777" w:rsidR="0064571B" w:rsidRPr="00D25040" w:rsidRDefault="0064571B" w:rsidP="004C6940">
            <w:pPr>
              <w:rPr>
                <w:i/>
                <w:color w:val="000000" w:themeColor="text1"/>
                <w:sz w:val="24"/>
                <w:szCs w:val="24"/>
              </w:rPr>
            </w:pPr>
            <w:r w:rsidRPr="00D25040">
              <w:rPr>
                <w:i/>
                <w:color w:val="000000" w:themeColor="text1"/>
                <w:sz w:val="24"/>
                <w:szCs w:val="24"/>
              </w:rPr>
              <w:t>t</w:t>
            </w:r>
          </w:p>
        </w:tc>
        <w:tc>
          <w:tcPr>
            <w:tcW w:w="713" w:type="dxa"/>
            <w:tcBorders>
              <w:top w:val="nil"/>
              <w:left w:val="nil"/>
              <w:bottom w:val="single" w:sz="4" w:space="0" w:color="auto"/>
              <w:right w:val="nil"/>
            </w:tcBorders>
          </w:tcPr>
          <w:p w14:paraId="1BC73163" w14:textId="77777777" w:rsidR="0064571B" w:rsidRPr="00D25040" w:rsidRDefault="0064571B" w:rsidP="004C6940">
            <w:pPr>
              <w:ind w:right="-230"/>
              <w:rPr>
                <w:i/>
                <w:color w:val="000000" w:themeColor="text1"/>
                <w:sz w:val="24"/>
                <w:szCs w:val="24"/>
              </w:rPr>
            </w:pPr>
            <w:r w:rsidRPr="00D25040">
              <w:rPr>
                <w:i/>
                <w:color w:val="000000" w:themeColor="text1"/>
                <w:sz w:val="24"/>
                <w:szCs w:val="24"/>
              </w:rPr>
              <w:t xml:space="preserve">    df</w:t>
            </w:r>
          </w:p>
        </w:tc>
      </w:tr>
      <w:tr w:rsidR="0064571B" w:rsidRPr="00D25040" w14:paraId="47232FA8" w14:textId="77777777" w:rsidTr="00035F4B">
        <w:trPr>
          <w:trHeight w:val="850"/>
        </w:trPr>
        <w:tc>
          <w:tcPr>
            <w:tcW w:w="1476" w:type="dxa"/>
            <w:tcBorders>
              <w:left w:val="nil"/>
              <w:bottom w:val="nil"/>
              <w:right w:val="nil"/>
            </w:tcBorders>
            <w:vAlign w:val="center"/>
          </w:tcPr>
          <w:p w14:paraId="0F4C9EDC" w14:textId="77777777" w:rsidR="00AF34BE" w:rsidRPr="00D25040" w:rsidRDefault="00AF34BE" w:rsidP="004C6940">
            <w:pPr>
              <w:rPr>
                <w:color w:val="000000" w:themeColor="text1"/>
                <w:sz w:val="24"/>
                <w:szCs w:val="24"/>
              </w:rPr>
            </w:pPr>
          </w:p>
          <w:p w14:paraId="7C344E9C" w14:textId="742F9006" w:rsidR="0064571B" w:rsidRPr="00D25040" w:rsidRDefault="00035F4B" w:rsidP="004C6940">
            <w:pPr>
              <w:rPr>
                <w:color w:val="000000" w:themeColor="text1"/>
                <w:sz w:val="24"/>
                <w:szCs w:val="24"/>
              </w:rPr>
            </w:pPr>
            <w:r w:rsidRPr="00D25040">
              <w:rPr>
                <w:color w:val="000000" w:themeColor="text1"/>
                <w:sz w:val="24"/>
                <w:szCs w:val="24"/>
              </w:rPr>
              <w:t>Inquiry</w:t>
            </w:r>
          </w:p>
          <w:p w14:paraId="7DB8B7EB" w14:textId="77777777" w:rsidR="0064571B" w:rsidRPr="00D25040" w:rsidRDefault="0064571B" w:rsidP="004C6940">
            <w:pPr>
              <w:rPr>
                <w:color w:val="000000" w:themeColor="text1"/>
                <w:sz w:val="24"/>
                <w:szCs w:val="24"/>
              </w:rPr>
            </w:pPr>
          </w:p>
        </w:tc>
        <w:tc>
          <w:tcPr>
            <w:tcW w:w="1321" w:type="dxa"/>
            <w:tcBorders>
              <w:left w:val="nil"/>
              <w:bottom w:val="nil"/>
              <w:right w:val="nil"/>
            </w:tcBorders>
            <w:vAlign w:val="center"/>
          </w:tcPr>
          <w:p w14:paraId="3274BF50" w14:textId="3CE18494" w:rsidR="0064571B" w:rsidRPr="00D25040" w:rsidRDefault="000F4EC8" w:rsidP="004C6940">
            <w:pPr>
              <w:rPr>
                <w:color w:val="000000" w:themeColor="text1"/>
                <w:sz w:val="24"/>
                <w:szCs w:val="24"/>
              </w:rPr>
            </w:pPr>
            <w:r w:rsidRPr="00D25040">
              <w:rPr>
                <w:color w:val="000000" w:themeColor="text1"/>
                <w:sz w:val="24"/>
                <w:szCs w:val="24"/>
              </w:rPr>
              <w:t>35.8</w:t>
            </w:r>
          </w:p>
        </w:tc>
        <w:tc>
          <w:tcPr>
            <w:tcW w:w="1231" w:type="dxa"/>
            <w:tcBorders>
              <w:left w:val="nil"/>
              <w:bottom w:val="nil"/>
              <w:right w:val="nil"/>
            </w:tcBorders>
            <w:vAlign w:val="center"/>
          </w:tcPr>
          <w:p w14:paraId="43DC2D2A" w14:textId="6E3BDFB5" w:rsidR="0064571B" w:rsidRPr="00D25040" w:rsidRDefault="000F4EC8" w:rsidP="004C6940">
            <w:pPr>
              <w:rPr>
                <w:color w:val="000000" w:themeColor="text1"/>
                <w:sz w:val="24"/>
                <w:szCs w:val="24"/>
              </w:rPr>
            </w:pPr>
            <w:r w:rsidRPr="00D25040">
              <w:rPr>
                <w:color w:val="000000" w:themeColor="text1"/>
                <w:sz w:val="24"/>
                <w:szCs w:val="24"/>
              </w:rPr>
              <w:t>7.7</w:t>
            </w:r>
          </w:p>
        </w:tc>
        <w:tc>
          <w:tcPr>
            <w:tcW w:w="1319" w:type="dxa"/>
            <w:tcBorders>
              <w:left w:val="nil"/>
              <w:bottom w:val="nil"/>
              <w:right w:val="nil"/>
            </w:tcBorders>
            <w:vAlign w:val="center"/>
          </w:tcPr>
          <w:p w14:paraId="70BD7A93" w14:textId="0C1E441F" w:rsidR="0064571B" w:rsidRPr="00D25040" w:rsidRDefault="000F4EC8" w:rsidP="004C6940">
            <w:pPr>
              <w:rPr>
                <w:color w:val="000000" w:themeColor="text1"/>
                <w:sz w:val="24"/>
                <w:szCs w:val="24"/>
              </w:rPr>
            </w:pPr>
            <w:r w:rsidRPr="00D25040">
              <w:rPr>
                <w:color w:val="000000" w:themeColor="text1"/>
                <w:sz w:val="24"/>
                <w:szCs w:val="24"/>
              </w:rPr>
              <w:t>40.2</w:t>
            </w:r>
          </w:p>
        </w:tc>
        <w:tc>
          <w:tcPr>
            <w:tcW w:w="1314" w:type="dxa"/>
            <w:gridSpan w:val="5"/>
            <w:tcBorders>
              <w:left w:val="nil"/>
              <w:bottom w:val="nil"/>
              <w:right w:val="nil"/>
            </w:tcBorders>
            <w:vAlign w:val="center"/>
          </w:tcPr>
          <w:p w14:paraId="30143CD5" w14:textId="1AD3E7F7" w:rsidR="0064571B" w:rsidRPr="00D25040" w:rsidRDefault="000F4EC8" w:rsidP="004C6940">
            <w:pPr>
              <w:rPr>
                <w:color w:val="000000" w:themeColor="text1"/>
                <w:sz w:val="24"/>
                <w:szCs w:val="24"/>
              </w:rPr>
            </w:pPr>
            <w:r w:rsidRPr="00D25040">
              <w:rPr>
                <w:color w:val="000000" w:themeColor="text1"/>
                <w:sz w:val="24"/>
                <w:szCs w:val="24"/>
              </w:rPr>
              <w:t>17.3</w:t>
            </w:r>
          </w:p>
        </w:tc>
        <w:tc>
          <w:tcPr>
            <w:tcW w:w="1192" w:type="dxa"/>
            <w:tcBorders>
              <w:left w:val="nil"/>
              <w:bottom w:val="nil"/>
              <w:right w:val="nil"/>
            </w:tcBorders>
            <w:vAlign w:val="center"/>
          </w:tcPr>
          <w:p w14:paraId="136E92B8" w14:textId="3A19B5B7" w:rsidR="0064571B" w:rsidRPr="00D25040" w:rsidRDefault="000F4EC8" w:rsidP="004C6940">
            <w:pPr>
              <w:rPr>
                <w:color w:val="000000" w:themeColor="text1"/>
                <w:sz w:val="24"/>
                <w:szCs w:val="24"/>
              </w:rPr>
            </w:pPr>
            <w:r w:rsidRPr="00D25040">
              <w:rPr>
                <w:color w:val="000000" w:themeColor="text1"/>
                <w:sz w:val="24"/>
                <w:szCs w:val="24"/>
              </w:rPr>
              <w:t>1.114</w:t>
            </w:r>
          </w:p>
        </w:tc>
        <w:tc>
          <w:tcPr>
            <w:tcW w:w="1254" w:type="dxa"/>
            <w:gridSpan w:val="4"/>
            <w:tcBorders>
              <w:left w:val="nil"/>
              <w:bottom w:val="nil"/>
              <w:right w:val="nil"/>
            </w:tcBorders>
            <w:vAlign w:val="center"/>
          </w:tcPr>
          <w:p w14:paraId="13FF606F" w14:textId="5BA02BFF" w:rsidR="0064571B" w:rsidRPr="00D25040" w:rsidRDefault="00035F4B" w:rsidP="004C6940">
            <w:pPr>
              <w:rPr>
                <w:color w:val="000000" w:themeColor="text1"/>
                <w:sz w:val="24"/>
                <w:szCs w:val="24"/>
              </w:rPr>
            </w:pPr>
            <w:r w:rsidRPr="00D25040">
              <w:rPr>
                <w:color w:val="000000" w:themeColor="text1"/>
                <w:sz w:val="24"/>
                <w:szCs w:val="24"/>
              </w:rPr>
              <w:t>23</w:t>
            </w:r>
          </w:p>
        </w:tc>
      </w:tr>
      <w:tr w:rsidR="00035F4B" w:rsidRPr="00D25040" w14:paraId="0D9B4FAB" w14:textId="77777777" w:rsidTr="00035F4B">
        <w:trPr>
          <w:trHeight w:val="850"/>
        </w:trPr>
        <w:tc>
          <w:tcPr>
            <w:tcW w:w="1476" w:type="dxa"/>
            <w:tcBorders>
              <w:top w:val="nil"/>
              <w:left w:val="nil"/>
              <w:bottom w:val="single" w:sz="4" w:space="0" w:color="auto"/>
              <w:right w:val="nil"/>
            </w:tcBorders>
            <w:vAlign w:val="center"/>
          </w:tcPr>
          <w:p w14:paraId="06326A58" w14:textId="5FB52B4A" w:rsidR="00035F4B" w:rsidRPr="00D25040" w:rsidRDefault="00035F4B" w:rsidP="004C6940">
            <w:pPr>
              <w:rPr>
                <w:color w:val="000000" w:themeColor="text1"/>
                <w:sz w:val="24"/>
                <w:szCs w:val="24"/>
              </w:rPr>
            </w:pPr>
            <w:r w:rsidRPr="00D25040">
              <w:rPr>
                <w:color w:val="000000" w:themeColor="text1"/>
                <w:sz w:val="24"/>
                <w:szCs w:val="24"/>
              </w:rPr>
              <w:t>Traditional</w:t>
            </w:r>
          </w:p>
        </w:tc>
        <w:tc>
          <w:tcPr>
            <w:tcW w:w="1321" w:type="dxa"/>
            <w:tcBorders>
              <w:top w:val="nil"/>
              <w:left w:val="nil"/>
              <w:bottom w:val="single" w:sz="4" w:space="0" w:color="auto"/>
              <w:right w:val="nil"/>
            </w:tcBorders>
            <w:vAlign w:val="center"/>
          </w:tcPr>
          <w:p w14:paraId="57265D34" w14:textId="444AB27D" w:rsidR="00035F4B" w:rsidRPr="00D25040" w:rsidRDefault="00035F4B" w:rsidP="004C6940">
            <w:pPr>
              <w:rPr>
                <w:color w:val="000000" w:themeColor="text1"/>
                <w:sz w:val="24"/>
                <w:szCs w:val="24"/>
              </w:rPr>
            </w:pPr>
            <w:r w:rsidRPr="00D25040">
              <w:rPr>
                <w:color w:val="000000" w:themeColor="text1"/>
                <w:sz w:val="24"/>
                <w:szCs w:val="24"/>
              </w:rPr>
              <w:t>31.1</w:t>
            </w:r>
          </w:p>
        </w:tc>
        <w:tc>
          <w:tcPr>
            <w:tcW w:w="1231" w:type="dxa"/>
            <w:tcBorders>
              <w:top w:val="nil"/>
              <w:left w:val="nil"/>
              <w:bottom w:val="single" w:sz="4" w:space="0" w:color="auto"/>
              <w:right w:val="nil"/>
            </w:tcBorders>
            <w:vAlign w:val="center"/>
          </w:tcPr>
          <w:p w14:paraId="75D2664F" w14:textId="78ED69EC" w:rsidR="00035F4B" w:rsidRPr="00D25040" w:rsidRDefault="00035F4B" w:rsidP="004C6940">
            <w:pPr>
              <w:rPr>
                <w:color w:val="000000" w:themeColor="text1"/>
                <w:sz w:val="24"/>
                <w:szCs w:val="24"/>
              </w:rPr>
            </w:pPr>
            <w:r w:rsidRPr="00D25040">
              <w:rPr>
                <w:color w:val="000000" w:themeColor="text1"/>
                <w:sz w:val="24"/>
                <w:szCs w:val="24"/>
              </w:rPr>
              <w:t>12.4</w:t>
            </w:r>
          </w:p>
        </w:tc>
        <w:tc>
          <w:tcPr>
            <w:tcW w:w="1319" w:type="dxa"/>
            <w:tcBorders>
              <w:top w:val="nil"/>
              <w:left w:val="nil"/>
              <w:bottom w:val="single" w:sz="4" w:space="0" w:color="auto"/>
              <w:right w:val="nil"/>
            </w:tcBorders>
            <w:vAlign w:val="center"/>
          </w:tcPr>
          <w:p w14:paraId="23ABDD69" w14:textId="3821E765" w:rsidR="00035F4B" w:rsidRPr="00D25040" w:rsidRDefault="00035F4B" w:rsidP="004C6940">
            <w:pPr>
              <w:rPr>
                <w:color w:val="000000" w:themeColor="text1"/>
                <w:sz w:val="24"/>
                <w:szCs w:val="24"/>
              </w:rPr>
            </w:pPr>
            <w:r w:rsidRPr="00D25040">
              <w:rPr>
                <w:color w:val="000000" w:themeColor="text1"/>
                <w:sz w:val="24"/>
                <w:szCs w:val="24"/>
              </w:rPr>
              <w:t>50.1</w:t>
            </w:r>
          </w:p>
        </w:tc>
        <w:tc>
          <w:tcPr>
            <w:tcW w:w="1314" w:type="dxa"/>
            <w:gridSpan w:val="5"/>
            <w:tcBorders>
              <w:top w:val="nil"/>
              <w:left w:val="nil"/>
              <w:bottom w:val="single" w:sz="4" w:space="0" w:color="auto"/>
              <w:right w:val="nil"/>
            </w:tcBorders>
            <w:vAlign w:val="center"/>
          </w:tcPr>
          <w:p w14:paraId="1359D09A" w14:textId="4705796C" w:rsidR="00035F4B" w:rsidRPr="00D25040" w:rsidRDefault="00035F4B" w:rsidP="004C6940">
            <w:pPr>
              <w:rPr>
                <w:color w:val="000000" w:themeColor="text1"/>
                <w:sz w:val="24"/>
                <w:szCs w:val="24"/>
              </w:rPr>
            </w:pPr>
            <w:r w:rsidRPr="00D25040">
              <w:rPr>
                <w:color w:val="000000" w:themeColor="text1"/>
                <w:sz w:val="24"/>
                <w:szCs w:val="24"/>
              </w:rPr>
              <w:t>19.4</w:t>
            </w:r>
          </w:p>
        </w:tc>
        <w:tc>
          <w:tcPr>
            <w:tcW w:w="1192" w:type="dxa"/>
            <w:tcBorders>
              <w:top w:val="nil"/>
              <w:left w:val="nil"/>
              <w:bottom w:val="single" w:sz="4" w:space="0" w:color="auto"/>
              <w:right w:val="nil"/>
            </w:tcBorders>
            <w:vAlign w:val="center"/>
          </w:tcPr>
          <w:p w14:paraId="77A4540C" w14:textId="380FFED3" w:rsidR="00035F4B" w:rsidRPr="00D25040" w:rsidRDefault="00035F4B" w:rsidP="004C6940">
            <w:pPr>
              <w:rPr>
                <w:color w:val="000000" w:themeColor="text1"/>
                <w:sz w:val="24"/>
                <w:szCs w:val="24"/>
              </w:rPr>
            </w:pPr>
            <w:r w:rsidRPr="00D25040">
              <w:rPr>
                <w:color w:val="000000" w:themeColor="text1"/>
                <w:sz w:val="24"/>
                <w:szCs w:val="24"/>
              </w:rPr>
              <w:t>4.121</w:t>
            </w:r>
          </w:p>
        </w:tc>
        <w:tc>
          <w:tcPr>
            <w:tcW w:w="1254" w:type="dxa"/>
            <w:gridSpan w:val="4"/>
            <w:tcBorders>
              <w:top w:val="nil"/>
              <w:left w:val="nil"/>
              <w:bottom w:val="single" w:sz="4" w:space="0" w:color="auto"/>
              <w:right w:val="nil"/>
            </w:tcBorders>
            <w:vAlign w:val="center"/>
          </w:tcPr>
          <w:p w14:paraId="763941B9" w14:textId="58AFAF48" w:rsidR="00035F4B" w:rsidRPr="00D25040" w:rsidRDefault="00035F4B" w:rsidP="004C6940">
            <w:pPr>
              <w:rPr>
                <w:color w:val="000000" w:themeColor="text1"/>
                <w:sz w:val="24"/>
                <w:szCs w:val="24"/>
              </w:rPr>
            </w:pPr>
            <w:r w:rsidRPr="00D25040">
              <w:rPr>
                <w:color w:val="000000" w:themeColor="text1"/>
                <w:sz w:val="24"/>
                <w:szCs w:val="24"/>
              </w:rPr>
              <w:t>23</w:t>
            </w:r>
          </w:p>
        </w:tc>
      </w:tr>
    </w:tbl>
    <w:p w14:paraId="7A5BC22B" w14:textId="505494ED" w:rsidR="00035F4B" w:rsidRDefault="00AF34BE" w:rsidP="004C6940">
      <w:pPr>
        <w:rPr>
          <w:color w:val="000000" w:themeColor="text1"/>
        </w:rPr>
      </w:pPr>
      <w:r w:rsidRPr="00D25040">
        <w:rPr>
          <w:i/>
          <w:color w:val="000000" w:themeColor="text1"/>
        </w:rPr>
        <w:t>Inquiry</w:t>
      </w:r>
      <w:r w:rsidRPr="00D25040">
        <w:rPr>
          <w:color w:val="000000" w:themeColor="text1"/>
        </w:rPr>
        <w:t xml:space="preserve">: p = 0.294; </w:t>
      </w:r>
      <w:r w:rsidR="00035F4B" w:rsidRPr="00D25040">
        <w:rPr>
          <w:i/>
          <w:color w:val="000000" w:themeColor="text1"/>
        </w:rPr>
        <w:t xml:space="preserve">Traditional: </w:t>
      </w:r>
      <w:r w:rsidR="0064571B" w:rsidRPr="00D25040">
        <w:rPr>
          <w:i/>
          <w:color w:val="000000" w:themeColor="text1"/>
        </w:rPr>
        <w:t xml:space="preserve">p </w:t>
      </w:r>
      <w:r w:rsidR="0064571B" w:rsidRPr="00D25040">
        <w:rPr>
          <w:color w:val="000000" w:themeColor="text1"/>
        </w:rPr>
        <w:t>&lt; 0.05</w:t>
      </w:r>
    </w:p>
    <w:p w14:paraId="57E22861" w14:textId="77777777" w:rsidR="00EF7512" w:rsidRPr="00EF7512" w:rsidRDefault="00EF7512" w:rsidP="004C6940">
      <w:pPr>
        <w:rPr>
          <w:color w:val="000000" w:themeColor="text1"/>
        </w:rPr>
      </w:pPr>
    </w:p>
    <w:p w14:paraId="3060ED7B" w14:textId="60B281B5" w:rsidR="00035F4B" w:rsidRPr="00D25040" w:rsidRDefault="00035F4B" w:rsidP="004C6940">
      <w:pPr>
        <w:spacing w:line="480" w:lineRule="auto"/>
        <w:rPr>
          <w:color w:val="000000" w:themeColor="text1"/>
          <w:sz w:val="24"/>
          <w:szCs w:val="24"/>
        </w:rPr>
      </w:pPr>
      <w:r w:rsidRPr="00D25040">
        <w:rPr>
          <w:color w:val="000000" w:themeColor="text1"/>
          <w:sz w:val="24"/>
          <w:szCs w:val="24"/>
        </w:rPr>
        <w:t>Table 2</w:t>
      </w:r>
    </w:p>
    <w:p w14:paraId="11834773" w14:textId="5EE055E9" w:rsidR="00035F4B" w:rsidRPr="00D25040" w:rsidRDefault="00035F4B" w:rsidP="004C6940">
      <w:pPr>
        <w:rPr>
          <w:i/>
          <w:color w:val="000000" w:themeColor="text1"/>
          <w:sz w:val="24"/>
          <w:szCs w:val="24"/>
        </w:rPr>
      </w:pPr>
      <w:r w:rsidRPr="00D25040">
        <w:rPr>
          <w:i/>
          <w:color w:val="000000" w:themeColor="text1"/>
          <w:sz w:val="24"/>
          <w:szCs w:val="24"/>
        </w:rPr>
        <w:t xml:space="preserve">Paired </w:t>
      </w:r>
      <w:r w:rsidRPr="00D25040">
        <w:rPr>
          <w:color w:val="000000" w:themeColor="text1"/>
          <w:sz w:val="24"/>
          <w:szCs w:val="24"/>
        </w:rPr>
        <w:t>t</w:t>
      </w:r>
      <w:r w:rsidRPr="00D25040">
        <w:rPr>
          <w:i/>
          <w:color w:val="000000" w:themeColor="text1"/>
          <w:sz w:val="24"/>
          <w:szCs w:val="24"/>
        </w:rPr>
        <w:t>-test - Pretest vs. Posttest Scores for High Ability Students</w:t>
      </w:r>
    </w:p>
    <w:p w14:paraId="7458D05B" w14:textId="77777777" w:rsidR="00035F4B" w:rsidRPr="00D25040" w:rsidRDefault="00035F4B" w:rsidP="004C6940">
      <w:pPr>
        <w:rPr>
          <w:i/>
          <w:color w:val="000000" w:themeColor="text1"/>
          <w:sz w:val="24"/>
          <w:szCs w:val="24"/>
        </w:rPr>
      </w:pPr>
    </w:p>
    <w:tbl>
      <w:tblPr>
        <w:tblStyle w:val="TableGrid"/>
        <w:tblW w:w="0" w:type="auto"/>
        <w:tblLook w:val="04A0" w:firstRow="1" w:lastRow="0" w:firstColumn="1" w:lastColumn="0" w:noHBand="0" w:noVBand="1"/>
      </w:tblPr>
      <w:tblGrid>
        <w:gridCol w:w="1476"/>
        <w:gridCol w:w="1321"/>
        <w:gridCol w:w="1231"/>
        <w:gridCol w:w="1319"/>
        <w:gridCol w:w="95"/>
        <w:gridCol w:w="776"/>
        <w:gridCol w:w="242"/>
        <w:gridCol w:w="102"/>
        <w:gridCol w:w="99"/>
        <w:gridCol w:w="1192"/>
        <w:gridCol w:w="92"/>
        <w:gridCol w:w="713"/>
        <w:gridCol w:w="266"/>
        <w:gridCol w:w="183"/>
      </w:tblGrid>
      <w:tr w:rsidR="00035F4B" w:rsidRPr="00D25040" w14:paraId="17A80AF6" w14:textId="77777777" w:rsidTr="00035F4B">
        <w:trPr>
          <w:gridAfter w:val="1"/>
          <w:wAfter w:w="183" w:type="dxa"/>
          <w:trHeight w:val="567"/>
        </w:trPr>
        <w:tc>
          <w:tcPr>
            <w:tcW w:w="1476" w:type="dxa"/>
            <w:tcBorders>
              <w:left w:val="nil"/>
              <w:bottom w:val="nil"/>
              <w:right w:val="nil"/>
            </w:tcBorders>
          </w:tcPr>
          <w:p w14:paraId="0E3E1B23" w14:textId="77777777" w:rsidR="00035F4B" w:rsidRPr="00D25040" w:rsidRDefault="00035F4B" w:rsidP="004C6940">
            <w:pPr>
              <w:rPr>
                <w:color w:val="000000" w:themeColor="text1"/>
                <w:sz w:val="24"/>
                <w:szCs w:val="24"/>
              </w:rPr>
            </w:pPr>
          </w:p>
        </w:tc>
        <w:tc>
          <w:tcPr>
            <w:tcW w:w="2552" w:type="dxa"/>
            <w:gridSpan w:val="2"/>
            <w:tcBorders>
              <w:left w:val="nil"/>
              <w:bottom w:val="single" w:sz="4" w:space="0" w:color="auto"/>
              <w:right w:val="nil"/>
            </w:tcBorders>
          </w:tcPr>
          <w:p w14:paraId="7FA3CCBA" w14:textId="77777777" w:rsidR="00035F4B" w:rsidRPr="00D25040" w:rsidRDefault="00035F4B" w:rsidP="004C6940">
            <w:pPr>
              <w:rPr>
                <w:color w:val="000000" w:themeColor="text1"/>
                <w:sz w:val="24"/>
                <w:szCs w:val="24"/>
              </w:rPr>
            </w:pPr>
            <w:r w:rsidRPr="00D25040">
              <w:rPr>
                <w:color w:val="000000" w:themeColor="text1"/>
                <w:sz w:val="24"/>
                <w:szCs w:val="24"/>
              </w:rPr>
              <w:t>Pretest Scores</w:t>
            </w:r>
          </w:p>
          <w:p w14:paraId="49F1F28E" w14:textId="04972FE4" w:rsidR="00035F4B" w:rsidRPr="00D25040" w:rsidRDefault="00035F4B" w:rsidP="004C6940">
            <w:pPr>
              <w:rPr>
                <w:color w:val="000000" w:themeColor="text1"/>
                <w:sz w:val="24"/>
                <w:szCs w:val="24"/>
              </w:rPr>
            </w:pPr>
            <w:r w:rsidRPr="00D25040">
              <w:rPr>
                <w:i/>
                <w:color w:val="000000" w:themeColor="text1"/>
                <w:sz w:val="24"/>
                <w:szCs w:val="24"/>
              </w:rPr>
              <w:t>N</w:t>
            </w:r>
            <w:r w:rsidRPr="00D25040">
              <w:rPr>
                <w:color w:val="000000" w:themeColor="text1"/>
                <w:sz w:val="24"/>
                <w:szCs w:val="24"/>
              </w:rPr>
              <w:t>=17</w:t>
            </w:r>
          </w:p>
        </w:tc>
        <w:tc>
          <w:tcPr>
            <w:tcW w:w="2432" w:type="dxa"/>
            <w:gridSpan w:val="4"/>
            <w:tcBorders>
              <w:left w:val="nil"/>
              <w:bottom w:val="single" w:sz="4" w:space="0" w:color="auto"/>
              <w:right w:val="nil"/>
            </w:tcBorders>
          </w:tcPr>
          <w:p w14:paraId="61F31C82" w14:textId="77777777" w:rsidR="00035F4B" w:rsidRPr="00D25040" w:rsidRDefault="00035F4B" w:rsidP="004C6940">
            <w:pPr>
              <w:rPr>
                <w:color w:val="000000" w:themeColor="text1"/>
                <w:sz w:val="24"/>
                <w:szCs w:val="24"/>
              </w:rPr>
            </w:pPr>
            <w:r w:rsidRPr="00D25040">
              <w:rPr>
                <w:color w:val="000000" w:themeColor="text1"/>
                <w:sz w:val="24"/>
                <w:szCs w:val="24"/>
              </w:rPr>
              <w:t>Posttest Scores</w:t>
            </w:r>
          </w:p>
          <w:p w14:paraId="469988C8" w14:textId="18F5EF45" w:rsidR="00035F4B" w:rsidRPr="00D25040" w:rsidRDefault="00035F4B" w:rsidP="004C6940">
            <w:pPr>
              <w:rPr>
                <w:color w:val="000000" w:themeColor="text1"/>
                <w:sz w:val="24"/>
                <w:szCs w:val="24"/>
              </w:rPr>
            </w:pPr>
            <w:r w:rsidRPr="00D25040">
              <w:rPr>
                <w:i/>
                <w:color w:val="000000" w:themeColor="text1"/>
                <w:sz w:val="24"/>
                <w:szCs w:val="24"/>
              </w:rPr>
              <w:t>N</w:t>
            </w:r>
            <w:r w:rsidRPr="00D25040">
              <w:rPr>
                <w:color w:val="000000" w:themeColor="text1"/>
                <w:sz w:val="24"/>
                <w:szCs w:val="24"/>
              </w:rPr>
              <w:t>=17</w:t>
            </w:r>
          </w:p>
        </w:tc>
        <w:tc>
          <w:tcPr>
            <w:tcW w:w="2464" w:type="dxa"/>
            <w:gridSpan w:val="6"/>
            <w:tcBorders>
              <w:left w:val="nil"/>
              <w:bottom w:val="nil"/>
              <w:right w:val="nil"/>
            </w:tcBorders>
          </w:tcPr>
          <w:p w14:paraId="0B214D88" w14:textId="77777777" w:rsidR="00035F4B" w:rsidRPr="00D25040" w:rsidRDefault="00035F4B" w:rsidP="004C6940">
            <w:pPr>
              <w:ind w:right="158"/>
              <w:rPr>
                <w:color w:val="000000" w:themeColor="text1"/>
                <w:sz w:val="24"/>
                <w:szCs w:val="24"/>
              </w:rPr>
            </w:pPr>
          </w:p>
        </w:tc>
      </w:tr>
      <w:tr w:rsidR="00035F4B" w:rsidRPr="00D25040" w14:paraId="030B2730" w14:textId="77777777" w:rsidTr="00035F4B">
        <w:trPr>
          <w:gridAfter w:val="2"/>
          <w:wAfter w:w="449" w:type="dxa"/>
          <w:trHeight w:val="271"/>
        </w:trPr>
        <w:tc>
          <w:tcPr>
            <w:tcW w:w="4028" w:type="dxa"/>
            <w:gridSpan w:val="3"/>
            <w:tcBorders>
              <w:top w:val="nil"/>
              <w:left w:val="nil"/>
              <w:bottom w:val="nil"/>
              <w:right w:val="nil"/>
            </w:tcBorders>
          </w:tcPr>
          <w:p w14:paraId="24B94DD2" w14:textId="77777777" w:rsidR="00035F4B" w:rsidRPr="00D25040" w:rsidRDefault="00035F4B" w:rsidP="004C6940">
            <w:pPr>
              <w:rPr>
                <w:color w:val="000000" w:themeColor="text1"/>
                <w:sz w:val="24"/>
                <w:szCs w:val="24"/>
              </w:rPr>
            </w:pPr>
          </w:p>
        </w:tc>
        <w:tc>
          <w:tcPr>
            <w:tcW w:w="1319" w:type="dxa"/>
            <w:tcBorders>
              <w:top w:val="nil"/>
              <w:left w:val="nil"/>
              <w:bottom w:val="nil"/>
              <w:right w:val="nil"/>
            </w:tcBorders>
          </w:tcPr>
          <w:p w14:paraId="73EB2B95" w14:textId="77777777" w:rsidR="00035F4B" w:rsidRPr="00D25040" w:rsidRDefault="00035F4B" w:rsidP="004C6940">
            <w:pPr>
              <w:rPr>
                <w:color w:val="000000" w:themeColor="text1"/>
                <w:sz w:val="24"/>
                <w:szCs w:val="24"/>
              </w:rPr>
            </w:pPr>
          </w:p>
        </w:tc>
        <w:tc>
          <w:tcPr>
            <w:tcW w:w="871" w:type="dxa"/>
            <w:gridSpan w:val="2"/>
            <w:tcBorders>
              <w:top w:val="nil"/>
              <w:left w:val="nil"/>
              <w:bottom w:val="nil"/>
              <w:right w:val="nil"/>
            </w:tcBorders>
          </w:tcPr>
          <w:p w14:paraId="1FF3D91C" w14:textId="77777777" w:rsidR="00035F4B" w:rsidRPr="00D25040" w:rsidRDefault="00035F4B" w:rsidP="004C6940">
            <w:pPr>
              <w:rPr>
                <w:color w:val="000000" w:themeColor="text1"/>
                <w:sz w:val="24"/>
                <w:szCs w:val="24"/>
              </w:rPr>
            </w:pPr>
          </w:p>
        </w:tc>
        <w:tc>
          <w:tcPr>
            <w:tcW w:w="1727" w:type="dxa"/>
            <w:gridSpan w:val="5"/>
            <w:tcBorders>
              <w:top w:val="nil"/>
              <w:left w:val="nil"/>
              <w:bottom w:val="nil"/>
              <w:right w:val="nil"/>
            </w:tcBorders>
          </w:tcPr>
          <w:p w14:paraId="68DCC2E3" w14:textId="77777777" w:rsidR="00035F4B" w:rsidRPr="00D25040" w:rsidRDefault="00035F4B" w:rsidP="004C6940">
            <w:pPr>
              <w:rPr>
                <w:color w:val="000000" w:themeColor="text1"/>
                <w:sz w:val="24"/>
                <w:szCs w:val="24"/>
              </w:rPr>
            </w:pPr>
          </w:p>
        </w:tc>
        <w:tc>
          <w:tcPr>
            <w:tcW w:w="713" w:type="dxa"/>
            <w:tcBorders>
              <w:top w:val="nil"/>
              <w:left w:val="nil"/>
              <w:bottom w:val="nil"/>
              <w:right w:val="nil"/>
            </w:tcBorders>
          </w:tcPr>
          <w:p w14:paraId="782D75BF" w14:textId="77777777" w:rsidR="00035F4B" w:rsidRPr="00D25040" w:rsidRDefault="00035F4B" w:rsidP="004C6940">
            <w:pPr>
              <w:rPr>
                <w:color w:val="000000" w:themeColor="text1"/>
                <w:sz w:val="24"/>
                <w:szCs w:val="24"/>
              </w:rPr>
            </w:pPr>
          </w:p>
        </w:tc>
      </w:tr>
      <w:tr w:rsidR="00035F4B" w:rsidRPr="00D25040" w14:paraId="3336720C" w14:textId="77777777" w:rsidTr="00035F4B">
        <w:trPr>
          <w:gridAfter w:val="2"/>
          <w:wAfter w:w="449" w:type="dxa"/>
          <w:trHeight w:val="283"/>
        </w:trPr>
        <w:tc>
          <w:tcPr>
            <w:tcW w:w="1476" w:type="dxa"/>
            <w:tcBorders>
              <w:top w:val="nil"/>
              <w:left w:val="nil"/>
              <w:bottom w:val="single" w:sz="4" w:space="0" w:color="auto"/>
              <w:right w:val="nil"/>
            </w:tcBorders>
          </w:tcPr>
          <w:p w14:paraId="5DEB0738" w14:textId="77777777" w:rsidR="00035F4B" w:rsidRPr="00D25040" w:rsidRDefault="00035F4B" w:rsidP="004C6940">
            <w:pPr>
              <w:rPr>
                <w:color w:val="000000" w:themeColor="text1"/>
                <w:sz w:val="24"/>
                <w:szCs w:val="24"/>
              </w:rPr>
            </w:pPr>
            <w:r w:rsidRPr="00D25040">
              <w:rPr>
                <w:color w:val="000000" w:themeColor="text1"/>
                <w:sz w:val="24"/>
                <w:szCs w:val="24"/>
              </w:rPr>
              <w:t>Subscale</w:t>
            </w:r>
          </w:p>
        </w:tc>
        <w:tc>
          <w:tcPr>
            <w:tcW w:w="1321" w:type="dxa"/>
            <w:tcBorders>
              <w:top w:val="nil"/>
              <w:left w:val="nil"/>
              <w:bottom w:val="single" w:sz="4" w:space="0" w:color="auto"/>
              <w:right w:val="nil"/>
            </w:tcBorders>
          </w:tcPr>
          <w:p w14:paraId="1C80E4B0" w14:textId="77777777" w:rsidR="00035F4B" w:rsidRPr="00D25040" w:rsidRDefault="00035F4B" w:rsidP="004C6940">
            <w:pPr>
              <w:rPr>
                <w:color w:val="000000" w:themeColor="text1"/>
                <w:sz w:val="24"/>
                <w:szCs w:val="24"/>
              </w:rPr>
            </w:pPr>
            <w:r w:rsidRPr="00D25040">
              <w:rPr>
                <w:color w:val="000000" w:themeColor="text1"/>
                <w:sz w:val="24"/>
                <w:szCs w:val="24"/>
              </w:rPr>
              <w:t>Mean</w:t>
            </w:r>
          </w:p>
        </w:tc>
        <w:tc>
          <w:tcPr>
            <w:tcW w:w="1231" w:type="dxa"/>
            <w:tcBorders>
              <w:top w:val="nil"/>
              <w:left w:val="nil"/>
              <w:bottom w:val="single" w:sz="4" w:space="0" w:color="auto"/>
              <w:right w:val="nil"/>
            </w:tcBorders>
          </w:tcPr>
          <w:p w14:paraId="17D1E94A" w14:textId="77777777" w:rsidR="00035F4B" w:rsidRPr="00D25040" w:rsidRDefault="00035F4B" w:rsidP="004C6940">
            <w:pPr>
              <w:rPr>
                <w:color w:val="000000" w:themeColor="text1"/>
                <w:sz w:val="24"/>
                <w:szCs w:val="24"/>
              </w:rPr>
            </w:pPr>
            <w:r w:rsidRPr="00D25040">
              <w:rPr>
                <w:color w:val="000000" w:themeColor="text1"/>
                <w:sz w:val="24"/>
                <w:szCs w:val="24"/>
              </w:rPr>
              <w:t>SD</w:t>
            </w:r>
          </w:p>
        </w:tc>
        <w:tc>
          <w:tcPr>
            <w:tcW w:w="1414" w:type="dxa"/>
            <w:gridSpan w:val="2"/>
            <w:tcBorders>
              <w:top w:val="nil"/>
              <w:left w:val="nil"/>
              <w:bottom w:val="single" w:sz="4" w:space="0" w:color="auto"/>
              <w:right w:val="nil"/>
            </w:tcBorders>
          </w:tcPr>
          <w:p w14:paraId="6AEF7BF2" w14:textId="77777777" w:rsidR="00035F4B" w:rsidRPr="00D25040" w:rsidRDefault="00035F4B" w:rsidP="004C6940">
            <w:pPr>
              <w:rPr>
                <w:color w:val="000000" w:themeColor="text1"/>
                <w:sz w:val="24"/>
                <w:szCs w:val="24"/>
              </w:rPr>
            </w:pPr>
            <w:r w:rsidRPr="00D25040">
              <w:rPr>
                <w:color w:val="000000" w:themeColor="text1"/>
                <w:sz w:val="24"/>
                <w:szCs w:val="24"/>
              </w:rPr>
              <w:t>Mean</w:t>
            </w:r>
          </w:p>
        </w:tc>
        <w:tc>
          <w:tcPr>
            <w:tcW w:w="1120" w:type="dxa"/>
            <w:gridSpan w:val="3"/>
            <w:tcBorders>
              <w:top w:val="nil"/>
              <w:left w:val="nil"/>
              <w:bottom w:val="single" w:sz="4" w:space="0" w:color="auto"/>
              <w:right w:val="nil"/>
            </w:tcBorders>
          </w:tcPr>
          <w:p w14:paraId="0072D85F" w14:textId="77777777" w:rsidR="00035F4B" w:rsidRPr="00D25040" w:rsidRDefault="00035F4B" w:rsidP="004C6940">
            <w:pPr>
              <w:rPr>
                <w:color w:val="000000" w:themeColor="text1"/>
                <w:sz w:val="24"/>
                <w:szCs w:val="24"/>
              </w:rPr>
            </w:pPr>
            <w:r w:rsidRPr="00D25040">
              <w:rPr>
                <w:color w:val="000000" w:themeColor="text1"/>
                <w:sz w:val="24"/>
                <w:szCs w:val="24"/>
              </w:rPr>
              <w:t>SD</w:t>
            </w:r>
          </w:p>
        </w:tc>
        <w:tc>
          <w:tcPr>
            <w:tcW w:w="1383" w:type="dxa"/>
            <w:gridSpan w:val="3"/>
            <w:tcBorders>
              <w:top w:val="nil"/>
              <w:left w:val="nil"/>
              <w:bottom w:val="single" w:sz="4" w:space="0" w:color="auto"/>
              <w:right w:val="nil"/>
            </w:tcBorders>
          </w:tcPr>
          <w:p w14:paraId="50E365E4" w14:textId="77777777" w:rsidR="00035F4B" w:rsidRPr="00D25040" w:rsidRDefault="00035F4B" w:rsidP="004C6940">
            <w:pPr>
              <w:rPr>
                <w:i/>
                <w:color w:val="000000" w:themeColor="text1"/>
                <w:sz w:val="24"/>
                <w:szCs w:val="24"/>
              </w:rPr>
            </w:pPr>
            <w:r w:rsidRPr="00D25040">
              <w:rPr>
                <w:i/>
                <w:color w:val="000000" w:themeColor="text1"/>
                <w:sz w:val="24"/>
                <w:szCs w:val="24"/>
              </w:rPr>
              <w:t>t</w:t>
            </w:r>
          </w:p>
        </w:tc>
        <w:tc>
          <w:tcPr>
            <w:tcW w:w="713" w:type="dxa"/>
            <w:tcBorders>
              <w:top w:val="nil"/>
              <w:left w:val="nil"/>
              <w:bottom w:val="single" w:sz="4" w:space="0" w:color="auto"/>
              <w:right w:val="nil"/>
            </w:tcBorders>
          </w:tcPr>
          <w:p w14:paraId="3EC8AA34" w14:textId="77777777" w:rsidR="00035F4B" w:rsidRPr="00D25040" w:rsidRDefault="00035F4B" w:rsidP="004C6940">
            <w:pPr>
              <w:ind w:right="-230"/>
              <w:rPr>
                <w:i/>
                <w:color w:val="000000" w:themeColor="text1"/>
                <w:sz w:val="24"/>
                <w:szCs w:val="24"/>
              </w:rPr>
            </w:pPr>
            <w:r w:rsidRPr="00D25040">
              <w:rPr>
                <w:i/>
                <w:color w:val="000000" w:themeColor="text1"/>
                <w:sz w:val="24"/>
                <w:szCs w:val="24"/>
              </w:rPr>
              <w:t xml:space="preserve">    df</w:t>
            </w:r>
          </w:p>
        </w:tc>
      </w:tr>
      <w:tr w:rsidR="00035F4B" w:rsidRPr="00D25040" w14:paraId="3FE8720D" w14:textId="77777777" w:rsidTr="00035F4B">
        <w:trPr>
          <w:trHeight w:val="850"/>
        </w:trPr>
        <w:tc>
          <w:tcPr>
            <w:tcW w:w="1476" w:type="dxa"/>
            <w:tcBorders>
              <w:left w:val="nil"/>
              <w:bottom w:val="nil"/>
              <w:right w:val="nil"/>
            </w:tcBorders>
            <w:vAlign w:val="center"/>
          </w:tcPr>
          <w:p w14:paraId="4AC1F214" w14:textId="09771752" w:rsidR="00035F4B" w:rsidRPr="00D25040" w:rsidRDefault="00035F4B" w:rsidP="004C6940">
            <w:pPr>
              <w:rPr>
                <w:color w:val="000000" w:themeColor="text1"/>
                <w:sz w:val="24"/>
                <w:szCs w:val="24"/>
              </w:rPr>
            </w:pPr>
            <w:r w:rsidRPr="00D25040">
              <w:rPr>
                <w:color w:val="000000" w:themeColor="text1"/>
                <w:sz w:val="24"/>
                <w:szCs w:val="24"/>
              </w:rPr>
              <w:t>Inquiry</w:t>
            </w:r>
            <w:r w:rsidR="00AF34BE" w:rsidRPr="00D25040">
              <w:rPr>
                <w:color w:val="000000" w:themeColor="text1"/>
                <w:sz w:val="24"/>
                <w:szCs w:val="24"/>
              </w:rPr>
              <w:t>-based Teaching</w:t>
            </w:r>
          </w:p>
          <w:p w14:paraId="0D70BA31" w14:textId="77777777" w:rsidR="00035F4B" w:rsidRPr="00D25040" w:rsidRDefault="00035F4B" w:rsidP="004C6940">
            <w:pPr>
              <w:rPr>
                <w:color w:val="000000" w:themeColor="text1"/>
                <w:sz w:val="24"/>
                <w:szCs w:val="24"/>
              </w:rPr>
            </w:pPr>
          </w:p>
        </w:tc>
        <w:tc>
          <w:tcPr>
            <w:tcW w:w="1321" w:type="dxa"/>
            <w:tcBorders>
              <w:left w:val="nil"/>
              <w:bottom w:val="nil"/>
              <w:right w:val="nil"/>
            </w:tcBorders>
            <w:vAlign w:val="center"/>
          </w:tcPr>
          <w:p w14:paraId="38A3A3DF" w14:textId="2622DF01" w:rsidR="00035F4B" w:rsidRPr="00D25040" w:rsidRDefault="00035F4B" w:rsidP="004C6940">
            <w:pPr>
              <w:rPr>
                <w:color w:val="000000" w:themeColor="text1"/>
                <w:sz w:val="24"/>
                <w:szCs w:val="24"/>
              </w:rPr>
            </w:pPr>
            <w:r w:rsidRPr="00D25040">
              <w:rPr>
                <w:color w:val="000000" w:themeColor="text1"/>
                <w:sz w:val="24"/>
                <w:szCs w:val="24"/>
              </w:rPr>
              <w:t>64.3</w:t>
            </w:r>
          </w:p>
        </w:tc>
        <w:tc>
          <w:tcPr>
            <w:tcW w:w="1231" w:type="dxa"/>
            <w:tcBorders>
              <w:left w:val="nil"/>
              <w:bottom w:val="nil"/>
              <w:right w:val="nil"/>
            </w:tcBorders>
            <w:vAlign w:val="center"/>
          </w:tcPr>
          <w:p w14:paraId="78D27315" w14:textId="2318F32C" w:rsidR="00035F4B" w:rsidRPr="00D25040" w:rsidRDefault="00AF34BE" w:rsidP="004C6940">
            <w:pPr>
              <w:rPr>
                <w:color w:val="000000" w:themeColor="text1"/>
                <w:sz w:val="24"/>
                <w:szCs w:val="24"/>
              </w:rPr>
            </w:pPr>
            <w:r w:rsidRPr="00D25040">
              <w:rPr>
                <w:color w:val="000000" w:themeColor="text1"/>
                <w:sz w:val="24"/>
                <w:szCs w:val="24"/>
              </w:rPr>
              <w:t>11.2</w:t>
            </w:r>
          </w:p>
        </w:tc>
        <w:tc>
          <w:tcPr>
            <w:tcW w:w="1319" w:type="dxa"/>
            <w:tcBorders>
              <w:left w:val="nil"/>
              <w:bottom w:val="nil"/>
              <w:right w:val="nil"/>
            </w:tcBorders>
            <w:vAlign w:val="center"/>
          </w:tcPr>
          <w:p w14:paraId="3C95DB00" w14:textId="75AEF316" w:rsidR="00035F4B" w:rsidRPr="00D25040" w:rsidRDefault="00035F4B" w:rsidP="004C6940">
            <w:pPr>
              <w:rPr>
                <w:color w:val="000000" w:themeColor="text1"/>
                <w:sz w:val="24"/>
                <w:szCs w:val="24"/>
              </w:rPr>
            </w:pPr>
            <w:r w:rsidRPr="00D25040">
              <w:rPr>
                <w:color w:val="000000" w:themeColor="text1"/>
                <w:sz w:val="24"/>
                <w:szCs w:val="24"/>
              </w:rPr>
              <w:t>72.5</w:t>
            </w:r>
          </w:p>
        </w:tc>
        <w:tc>
          <w:tcPr>
            <w:tcW w:w="1314" w:type="dxa"/>
            <w:gridSpan w:val="5"/>
            <w:tcBorders>
              <w:left w:val="nil"/>
              <w:bottom w:val="nil"/>
              <w:right w:val="nil"/>
            </w:tcBorders>
            <w:vAlign w:val="center"/>
          </w:tcPr>
          <w:p w14:paraId="5BFF57E7" w14:textId="2751F61E" w:rsidR="00035F4B" w:rsidRPr="00D25040" w:rsidRDefault="00AF34BE" w:rsidP="004C6940">
            <w:pPr>
              <w:rPr>
                <w:color w:val="000000" w:themeColor="text1"/>
                <w:sz w:val="24"/>
                <w:szCs w:val="24"/>
              </w:rPr>
            </w:pPr>
            <w:r w:rsidRPr="00D25040">
              <w:rPr>
                <w:color w:val="000000" w:themeColor="text1"/>
                <w:sz w:val="24"/>
                <w:szCs w:val="24"/>
              </w:rPr>
              <w:t>19.7</w:t>
            </w:r>
          </w:p>
        </w:tc>
        <w:tc>
          <w:tcPr>
            <w:tcW w:w="1192" w:type="dxa"/>
            <w:tcBorders>
              <w:left w:val="nil"/>
              <w:bottom w:val="nil"/>
              <w:right w:val="nil"/>
            </w:tcBorders>
            <w:vAlign w:val="center"/>
          </w:tcPr>
          <w:p w14:paraId="6DDC2F01" w14:textId="72A740C6" w:rsidR="00035F4B" w:rsidRPr="00D25040" w:rsidRDefault="00035F4B" w:rsidP="004C6940">
            <w:pPr>
              <w:rPr>
                <w:color w:val="000000" w:themeColor="text1"/>
                <w:sz w:val="24"/>
                <w:szCs w:val="24"/>
              </w:rPr>
            </w:pPr>
            <w:r w:rsidRPr="00D25040">
              <w:rPr>
                <w:color w:val="000000" w:themeColor="text1"/>
                <w:sz w:val="24"/>
                <w:szCs w:val="24"/>
              </w:rPr>
              <w:t>1.</w:t>
            </w:r>
            <w:r w:rsidR="00AF34BE" w:rsidRPr="00D25040">
              <w:rPr>
                <w:color w:val="000000" w:themeColor="text1"/>
                <w:sz w:val="24"/>
                <w:szCs w:val="24"/>
              </w:rPr>
              <w:t>539</w:t>
            </w:r>
          </w:p>
        </w:tc>
        <w:tc>
          <w:tcPr>
            <w:tcW w:w="1254" w:type="dxa"/>
            <w:gridSpan w:val="4"/>
            <w:tcBorders>
              <w:left w:val="nil"/>
              <w:bottom w:val="nil"/>
              <w:right w:val="nil"/>
            </w:tcBorders>
            <w:vAlign w:val="center"/>
          </w:tcPr>
          <w:p w14:paraId="33041D65" w14:textId="1BA93FC0" w:rsidR="00035F4B" w:rsidRPr="00D25040" w:rsidRDefault="00035F4B" w:rsidP="004C6940">
            <w:pPr>
              <w:rPr>
                <w:color w:val="000000" w:themeColor="text1"/>
                <w:sz w:val="24"/>
                <w:szCs w:val="24"/>
              </w:rPr>
            </w:pPr>
            <w:r w:rsidRPr="00D25040">
              <w:rPr>
                <w:color w:val="000000" w:themeColor="text1"/>
                <w:sz w:val="24"/>
                <w:szCs w:val="24"/>
              </w:rPr>
              <w:t>16</w:t>
            </w:r>
          </w:p>
        </w:tc>
      </w:tr>
      <w:tr w:rsidR="00035F4B" w:rsidRPr="00D25040" w14:paraId="75E01B84" w14:textId="77777777" w:rsidTr="00035F4B">
        <w:trPr>
          <w:trHeight w:val="850"/>
        </w:trPr>
        <w:tc>
          <w:tcPr>
            <w:tcW w:w="1476" w:type="dxa"/>
            <w:tcBorders>
              <w:top w:val="nil"/>
              <w:left w:val="nil"/>
              <w:bottom w:val="single" w:sz="4" w:space="0" w:color="auto"/>
              <w:right w:val="nil"/>
            </w:tcBorders>
            <w:vAlign w:val="center"/>
          </w:tcPr>
          <w:p w14:paraId="536C25B4" w14:textId="77777777" w:rsidR="00035F4B" w:rsidRPr="00D25040" w:rsidRDefault="00035F4B" w:rsidP="004C6940">
            <w:pPr>
              <w:rPr>
                <w:color w:val="000000" w:themeColor="text1"/>
                <w:sz w:val="24"/>
                <w:szCs w:val="24"/>
              </w:rPr>
            </w:pPr>
            <w:r w:rsidRPr="00D25040">
              <w:rPr>
                <w:color w:val="000000" w:themeColor="text1"/>
                <w:sz w:val="24"/>
                <w:szCs w:val="24"/>
              </w:rPr>
              <w:t>Traditional</w:t>
            </w:r>
          </w:p>
        </w:tc>
        <w:tc>
          <w:tcPr>
            <w:tcW w:w="1321" w:type="dxa"/>
            <w:tcBorders>
              <w:top w:val="nil"/>
              <w:left w:val="nil"/>
              <w:bottom w:val="single" w:sz="4" w:space="0" w:color="auto"/>
              <w:right w:val="nil"/>
            </w:tcBorders>
            <w:vAlign w:val="center"/>
          </w:tcPr>
          <w:p w14:paraId="76EF4114" w14:textId="497E2DE4" w:rsidR="00035F4B" w:rsidRPr="00D25040" w:rsidRDefault="00035F4B" w:rsidP="004C6940">
            <w:pPr>
              <w:rPr>
                <w:color w:val="000000" w:themeColor="text1"/>
                <w:sz w:val="24"/>
                <w:szCs w:val="24"/>
              </w:rPr>
            </w:pPr>
            <w:r w:rsidRPr="00D25040">
              <w:rPr>
                <w:color w:val="000000" w:themeColor="text1"/>
                <w:sz w:val="24"/>
                <w:szCs w:val="24"/>
              </w:rPr>
              <w:t>70.6</w:t>
            </w:r>
          </w:p>
        </w:tc>
        <w:tc>
          <w:tcPr>
            <w:tcW w:w="1231" w:type="dxa"/>
            <w:tcBorders>
              <w:top w:val="nil"/>
              <w:left w:val="nil"/>
              <w:bottom w:val="single" w:sz="4" w:space="0" w:color="auto"/>
              <w:right w:val="nil"/>
            </w:tcBorders>
            <w:vAlign w:val="center"/>
          </w:tcPr>
          <w:p w14:paraId="53A0A289" w14:textId="64C78C28" w:rsidR="00035F4B" w:rsidRPr="00D25040" w:rsidRDefault="00035F4B" w:rsidP="004C6940">
            <w:pPr>
              <w:rPr>
                <w:color w:val="000000" w:themeColor="text1"/>
                <w:sz w:val="24"/>
                <w:szCs w:val="24"/>
              </w:rPr>
            </w:pPr>
            <w:r w:rsidRPr="00D25040">
              <w:rPr>
                <w:color w:val="000000" w:themeColor="text1"/>
                <w:sz w:val="24"/>
                <w:szCs w:val="24"/>
              </w:rPr>
              <w:t>11.1</w:t>
            </w:r>
          </w:p>
        </w:tc>
        <w:tc>
          <w:tcPr>
            <w:tcW w:w="1319" w:type="dxa"/>
            <w:tcBorders>
              <w:top w:val="nil"/>
              <w:left w:val="nil"/>
              <w:bottom w:val="single" w:sz="4" w:space="0" w:color="auto"/>
              <w:right w:val="nil"/>
            </w:tcBorders>
            <w:vAlign w:val="center"/>
          </w:tcPr>
          <w:p w14:paraId="54884ECA" w14:textId="12D6F1C8" w:rsidR="00035F4B" w:rsidRPr="00D25040" w:rsidRDefault="00035F4B" w:rsidP="004C6940">
            <w:pPr>
              <w:rPr>
                <w:color w:val="000000" w:themeColor="text1"/>
                <w:sz w:val="24"/>
                <w:szCs w:val="24"/>
              </w:rPr>
            </w:pPr>
            <w:r w:rsidRPr="00D25040">
              <w:rPr>
                <w:color w:val="000000" w:themeColor="text1"/>
                <w:sz w:val="24"/>
                <w:szCs w:val="24"/>
              </w:rPr>
              <w:t>78.7</w:t>
            </w:r>
          </w:p>
        </w:tc>
        <w:tc>
          <w:tcPr>
            <w:tcW w:w="1314" w:type="dxa"/>
            <w:gridSpan w:val="5"/>
            <w:tcBorders>
              <w:top w:val="nil"/>
              <w:left w:val="nil"/>
              <w:bottom w:val="single" w:sz="4" w:space="0" w:color="auto"/>
              <w:right w:val="nil"/>
            </w:tcBorders>
            <w:vAlign w:val="center"/>
          </w:tcPr>
          <w:p w14:paraId="0C43803D" w14:textId="5872E6E5" w:rsidR="00035F4B" w:rsidRPr="00D25040" w:rsidRDefault="00035F4B" w:rsidP="004C6940">
            <w:pPr>
              <w:rPr>
                <w:color w:val="000000" w:themeColor="text1"/>
                <w:sz w:val="24"/>
                <w:szCs w:val="24"/>
              </w:rPr>
            </w:pPr>
            <w:r w:rsidRPr="00D25040">
              <w:rPr>
                <w:color w:val="000000" w:themeColor="text1"/>
                <w:sz w:val="24"/>
                <w:szCs w:val="24"/>
              </w:rPr>
              <w:t>13.1</w:t>
            </w:r>
          </w:p>
        </w:tc>
        <w:tc>
          <w:tcPr>
            <w:tcW w:w="1192" w:type="dxa"/>
            <w:tcBorders>
              <w:top w:val="nil"/>
              <w:left w:val="nil"/>
              <w:bottom w:val="single" w:sz="4" w:space="0" w:color="auto"/>
              <w:right w:val="nil"/>
            </w:tcBorders>
            <w:vAlign w:val="center"/>
          </w:tcPr>
          <w:p w14:paraId="149B6A5F" w14:textId="6169CBA9" w:rsidR="00035F4B" w:rsidRPr="00D25040" w:rsidRDefault="00035F4B" w:rsidP="004C6940">
            <w:pPr>
              <w:rPr>
                <w:color w:val="000000" w:themeColor="text1"/>
                <w:sz w:val="24"/>
                <w:szCs w:val="24"/>
              </w:rPr>
            </w:pPr>
            <w:r w:rsidRPr="00D25040">
              <w:rPr>
                <w:color w:val="000000" w:themeColor="text1"/>
                <w:sz w:val="24"/>
                <w:szCs w:val="24"/>
              </w:rPr>
              <w:t>1.652</w:t>
            </w:r>
          </w:p>
        </w:tc>
        <w:tc>
          <w:tcPr>
            <w:tcW w:w="1254" w:type="dxa"/>
            <w:gridSpan w:val="4"/>
            <w:tcBorders>
              <w:top w:val="nil"/>
              <w:left w:val="nil"/>
              <w:bottom w:val="single" w:sz="4" w:space="0" w:color="auto"/>
              <w:right w:val="nil"/>
            </w:tcBorders>
            <w:vAlign w:val="center"/>
          </w:tcPr>
          <w:p w14:paraId="294C798F" w14:textId="47B1540A" w:rsidR="00035F4B" w:rsidRPr="00D25040" w:rsidRDefault="00035F4B" w:rsidP="004C6940">
            <w:pPr>
              <w:rPr>
                <w:color w:val="000000" w:themeColor="text1"/>
                <w:sz w:val="24"/>
                <w:szCs w:val="24"/>
              </w:rPr>
            </w:pPr>
            <w:r w:rsidRPr="00D25040">
              <w:rPr>
                <w:color w:val="000000" w:themeColor="text1"/>
                <w:sz w:val="24"/>
                <w:szCs w:val="24"/>
              </w:rPr>
              <w:t>16</w:t>
            </w:r>
          </w:p>
        </w:tc>
      </w:tr>
    </w:tbl>
    <w:p w14:paraId="318C9C7A" w14:textId="124C7D0B" w:rsidR="00035F4B" w:rsidRPr="00D25040" w:rsidRDefault="00AF34BE" w:rsidP="004C6940">
      <w:pPr>
        <w:rPr>
          <w:color w:val="000000" w:themeColor="text1"/>
        </w:rPr>
      </w:pPr>
      <w:r w:rsidRPr="00D25040">
        <w:rPr>
          <w:i/>
          <w:color w:val="000000" w:themeColor="text1"/>
        </w:rPr>
        <w:t>Inquiry</w:t>
      </w:r>
      <w:r w:rsidRPr="00D25040">
        <w:rPr>
          <w:color w:val="000000" w:themeColor="text1"/>
        </w:rPr>
        <w:t xml:space="preserve">: p = 0.168; </w:t>
      </w:r>
      <w:r w:rsidR="00035F4B" w:rsidRPr="00D25040">
        <w:rPr>
          <w:i/>
          <w:color w:val="000000" w:themeColor="text1"/>
        </w:rPr>
        <w:t xml:space="preserve">Traditional: p </w:t>
      </w:r>
      <w:r w:rsidRPr="00D25040">
        <w:rPr>
          <w:color w:val="000000" w:themeColor="text1"/>
        </w:rPr>
        <w:t>= 0.137</w:t>
      </w:r>
    </w:p>
    <w:p w14:paraId="23768BFE" w14:textId="77777777" w:rsidR="00AE1F96" w:rsidRDefault="00AE1F96" w:rsidP="004C6940">
      <w:pPr>
        <w:spacing w:line="480" w:lineRule="auto"/>
        <w:rPr>
          <w:b/>
          <w:color w:val="000000" w:themeColor="text1"/>
          <w:sz w:val="24"/>
          <w:szCs w:val="24"/>
        </w:rPr>
      </w:pPr>
    </w:p>
    <w:p w14:paraId="7DC9584C" w14:textId="77777777" w:rsidR="0064571B" w:rsidRPr="00D25040" w:rsidRDefault="0064571B" w:rsidP="004C6940">
      <w:pPr>
        <w:spacing w:line="480" w:lineRule="auto"/>
        <w:rPr>
          <w:b/>
          <w:color w:val="000000" w:themeColor="text1"/>
          <w:sz w:val="24"/>
          <w:szCs w:val="24"/>
        </w:rPr>
      </w:pPr>
      <w:r w:rsidRPr="00D25040">
        <w:rPr>
          <w:b/>
          <w:color w:val="000000" w:themeColor="text1"/>
          <w:sz w:val="24"/>
          <w:szCs w:val="24"/>
        </w:rPr>
        <w:t>Summary of Results</w:t>
      </w:r>
    </w:p>
    <w:p w14:paraId="18770502" w14:textId="21F34B43" w:rsidR="00FE5A54" w:rsidRPr="00E519B3" w:rsidRDefault="0064571B" w:rsidP="004C6940">
      <w:pPr>
        <w:spacing w:line="480" w:lineRule="auto"/>
        <w:rPr>
          <w:color w:val="000000" w:themeColor="text1"/>
          <w:sz w:val="24"/>
          <w:szCs w:val="24"/>
        </w:rPr>
      </w:pPr>
      <w:r w:rsidRPr="00D25040">
        <w:rPr>
          <w:b/>
          <w:color w:val="000000" w:themeColor="text1"/>
          <w:sz w:val="24"/>
          <w:szCs w:val="24"/>
        </w:rPr>
        <w:tab/>
      </w:r>
      <w:r w:rsidR="000564A5" w:rsidRPr="00D25040">
        <w:rPr>
          <w:color w:val="000000" w:themeColor="text1"/>
          <w:sz w:val="24"/>
          <w:szCs w:val="24"/>
        </w:rPr>
        <w:t>To determine the effect of inquiry-based teaching in a grade ten mathematics class, the study utilized a quant</w:t>
      </w:r>
      <w:r w:rsidR="00710841" w:rsidRPr="00D25040">
        <w:rPr>
          <w:color w:val="000000" w:themeColor="text1"/>
          <w:sz w:val="24"/>
          <w:szCs w:val="24"/>
        </w:rPr>
        <w:t>itative approach to test which type of teaching method was more effective for students at varying ability levels. It was hypothesize</w:t>
      </w:r>
      <w:r w:rsidR="00144730" w:rsidRPr="00D25040">
        <w:rPr>
          <w:color w:val="000000" w:themeColor="text1"/>
          <w:sz w:val="24"/>
          <w:szCs w:val="24"/>
        </w:rPr>
        <w:t>d that after students received i</w:t>
      </w:r>
      <w:r w:rsidR="00710841" w:rsidRPr="00D25040">
        <w:rPr>
          <w:color w:val="000000" w:themeColor="text1"/>
          <w:sz w:val="24"/>
          <w:szCs w:val="24"/>
        </w:rPr>
        <w:t>nquiry-based teaching methods that they would have more learning gains than the students who received a more traditional pedagogy.</w:t>
      </w:r>
      <w:r w:rsidR="00144730" w:rsidRPr="00D25040">
        <w:rPr>
          <w:color w:val="000000" w:themeColor="text1"/>
          <w:sz w:val="24"/>
          <w:szCs w:val="24"/>
        </w:rPr>
        <w:t xml:space="preserve"> The researcher collected quantitative data in the form of a pretest and posttest and determined statistical significance by using EZAnalyze to perform paired </w:t>
      </w:r>
      <w:r w:rsidR="00144730" w:rsidRPr="00D25040">
        <w:rPr>
          <w:i/>
          <w:color w:val="000000" w:themeColor="text1"/>
          <w:sz w:val="24"/>
          <w:szCs w:val="24"/>
        </w:rPr>
        <w:t>t</w:t>
      </w:r>
      <w:r w:rsidR="00144730" w:rsidRPr="00D25040">
        <w:rPr>
          <w:color w:val="000000" w:themeColor="text1"/>
          <w:sz w:val="24"/>
          <w:szCs w:val="24"/>
        </w:rPr>
        <w:t>-tests. These data indicate that opposed to the proposed hypothesis, there was no significant difference between the learning gains of the students in either the low or high ability groups in the inquiry-based classroom in comparison to the traditional classroom data. However, the data did indicate that traditional teaching in a grade ten math class did have significant difference for the low ability students. The data is contrary to the government arguing that inquiry-based learning is beneficial in the mathematics program and classroom.</w:t>
      </w:r>
      <w:r w:rsidR="00D25040" w:rsidRPr="00D25040">
        <w:rPr>
          <w:color w:val="000000" w:themeColor="text1"/>
          <w:sz w:val="24"/>
          <w:szCs w:val="24"/>
        </w:rPr>
        <w:t xml:space="preserve"> These data indicates that students do not respond well to inquiry-based methods in the mathematics classroom.</w:t>
      </w:r>
      <w:r w:rsidR="00E519B3">
        <w:rPr>
          <w:color w:val="000000" w:themeColor="text1"/>
          <w:sz w:val="24"/>
          <w:szCs w:val="24"/>
        </w:rPr>
        <w:t xml:space="preserve"> The data for the high ability students remains questionable as the low probability values were most likely a result of a ceiling effect.</w:t>
      </w:r>
    </w:p>
    <w:p w14:paraId="386BDCFD" w14:textId="77777777" w:rsidR="0064571B" w:rsidRPr="00D25040" w:rsidRDefault="0064571B" w:rsidP="00153098">
      <w:pPr>
        <w:spacing w:line="480" w:lineRule="auto"/>
        <w:jc w:val="center"/>
        <w:rPr>
          <w:b/>
          <w:color w:val="000000" w:themeColor="text1"/>
          <w:sz w:val="24"/>
          <w:szCs w:val="24"/>
        </w:rPr>
      </w:pPr>
      <w:r w:rsidRPr="00D25040">
        <w:rPr>
          <w:b/>
          <w:color w:val="000000" w:themeColor="text1"/>
          <w:sz w:val="24"/>
          <w:szCs w:val="24"/>
        </w:rPr>
        <w:t>Chapter V - Conclusions and Discussion of Findings</w:t>
      </w:r>
    </w:p>
    <w:p w14:paraId="1D0996E0" w14:textId="0906CB2D" w:rsidR="0064571B" w:rsidRPr="00D25040" w:rsidRDefault="0064571B" w:rsidP="004C6940">
      <w:pPr>
        <w:spacing w:line="480" w:lineRule="auto"/>
        <w:rPr>
          <w:color w:val="000000" w:themeColor="text1"/>
          <w:sz w:val="24"/>
          <w:szCs w:val="24"/>
        </w:rPr>
      </w:pPr>
      <w:r w:rsidRPr="0064571B">
        <w:rPr>
          <w:b/>
          <w:color w:val="4F81BD" w:themeColor="accent1"/>
          <w:sz w:val="24"/>
          <w:szCs w:val="24"/>
        </w:rPr>
        <w:tab/>
      </w:r>
      <w:r w:rsidR="00D25040" w:rsidRPr="00D25040">
        <w:rPr>
          <w:color w:val="000000" w:themeColor="text1"/>
          <w:sz w:val="24"/>
          <w:szCs w:val="24"/>
        </w:rPr>
        <w:t xml:space="preserve">The purpose of this investigation is to determine how inquiry-based teaching methods affect various ability levels in a grade ten math classroom. </w:t>
      </w:r>
      <w:r w:rsidRPr="00D25040">
        <w:rPr>
          <w:color w:val="000000" w:themeColor="text1"/>
          <w:sz w:val="24"/>
          <w:szCs w:val="24"/>
        </w:rPr>
        <w:t xml:space="preserve">More specifically, </w:t>
      </w:r>
      <w:r w:rsidR="00E519B3">
        <w:rPr>
          <w:color w:val="000000" w:themeColor="text1"/>
          <w:sz w:val="24"/>
          <w:szCs w:val="24"/>
        </w:rPr>
        <w:t xml:space="preserve">did the results of a </w:t>
      </w:r>
      <w:r w:rsidR="00D25040" w:rsidRPr="00D25040">
        <w:rPr>
          <w:color w:val="000000" w:themeColor="text1"/>
          <w:sz w:val="24"/>
          <w:szCs w:val="24"/>
        </w:rPr>
        <w:t xml:space="preserve"> grade ten math class that received inquiry-based teaching methods surpass the results of a grade ten math class that received traditional teaching methods? </w:t>
      </w:r>
      <w:r w:rsidRPr="00D25040">
        <w:rPr>
          <w:color w:val="000000" w:themeColor="text1"/>
          <w:sz w:val="24"/>
          <w:szCs w:val="24"/>
        </w:rPr>
        <w:t xml:space="preserve">The study took place in </w:t>
      </w:r>
      <w:r w:rsidR="00D25040" w:rsidRPr="00D25040">
        <w:rPr>
          <w:color w:val="000000" w:themeColor="text1"/>
          <w:sz w:val="24"/>
          <w:szCs w:val="24"/>
        </w:rPr>
        <w:t>two Math 10C classroom composed of grade ten students, a few grade eleven</w:t>
      </w:r>
      <w:r w:rsidR="001B2942">
        <w:rPr>
          <w:color w:val="000000" w:themeColor="text1"/>
          <w:sz w:val="24"/>
          <w:szCs w:val="24"/>
        </w:rPr>
        <w:t xml:space="preserve"> students, and one mature stude</w:t>
      </w:r>
      <w:r w:rsidR="00D25040" w:rsidRPr="00D25040">
        <w:rPr>
          <w:color w:val="000000" w:themeColor="text1"/>
          <w:sz w:val="24"/>
          <w:szCs w:val="24"/>
        </w:rPr>
        <w:t>n</w:t>
      </w:r>
      <w:r w:rsidR="001B2942">
        <w:rPr>
          <w:color w:val="000000" w:themeColor="text1"/>
          <w:sz w:val="24"/>
          <w:szCs w:val="24"/>
        </w:rPr>
        <w:t>t</w:t>
      </w:r>
      <w:r w:rsidRPr="00D25040">
        <w:rPr>
          <w:color w:val="000000" w:themeColor="text1"/>
          <w:sz w:val="24"/>
          <w:szCs w:val="24"/>
        </w:rPr>
        <w:t xml:space="preserve"> at </w:t>
      </w:r>
      <w:r w:rsidR="00D25040" w:rsidRPr="00D25040">
        <w:rPr>
          <w:color w:val="000000" w:themeColor="text1"/>
          <w:sz w:val="24"/>
          <w:szCs w:val="24"/>
        </w:rPr>
        <w:t>Notre Dame High School in Red Deer, Alberta.</w:t>
      </w:r>
      <w:r w:rsidRPr="00D25040">
        <w:rPr>
          <w:color w:val="000000" w:themeColor="text1"/>
          <w:sz w:val="24"/>
          <w:szCs w:val="24"/>
        </w:rPr>
        <w:t xml:space="preserve"> </w:t>
      </w:r>
    </w:p>
    <w:p w14:paraId="13EDD55C" w14:textId="4915DEFE" w:rsidR="0064571B" w:rsidRPr="0064571B" w:rsidRDefault="0064571B" w:rsidP="004C6940">
      <w:pPr>
        <w:spacing w:line="480" w:lineRule="auto"/>
        <w:rPr>
          <w:rFonts w:eastAsiaTheme="minorHAnsi"/>
          <w:iCs/>
          <w:color w:val="4F81BD" w:themeColor="accent1"/>
          <w:kern w:val="0"/>
          <w:sz w:val="24"/>
          <w:szCs w:val="24"/>
        </w:rPr>
      </w:pPr>
      <w:r w:rsidRPr="0064571B">
        <w:rPr>
          <w:color w:val="4F81BD" w:themeColor="accent1"/>
          <w:sz w:val="24"/>
          <w:szCs w:val="24"/>
        </w:rPr>
        <w:tab/>
      </w:r>
      <w:r w:rsidR="00641629" w:rsidRPr="00641629">
        <w:rPr>
          <w:color w:val="000000" w:themeColor="text1"/>
          <w:sz w:val="24"/>
          <w:szCs w:val="24"/>
        </w:rPr>
        <w:t>Overall, most research suggests positive leaning gains are a result of inquiry teaching (Anderson, 2002).</w:t>
      </w:r>
      <w:r w:rsidR="00641629">
        <w:rPr>
          <w:color w:val="4F81BD" w:themeColor="accent1"/>
          <w:sz w:val="24"/>
          <w:szCs w:val="24"/>
        </w:rPr>
        <w:t xml:space="preserve"> </w:t>
      </w:r>
      <w:r w:rsidRPr="00404641">
        <w:rPr>
          <w:color w:val="000000" w:themeColor="text1"/>
          <w:sz w:val="24"/>
          <w:szCs w:val="24"/>
        </w:rPr>
        <w:t xml:space="preserve">Furthermore, </w:t>
      </w:r>
      <w:r w:rsidR="00404641" w:rsidRPr="00404641">
        <w:rPr>
          <w:color w:val="000000" w:themeColor="text1"/>
          <w:sz w:val="24"/>
          <w:szCs w:val="24"/>
        </w:rPr>
        <w:t xml:space="preserve">Flick (1995) implies that learning is enriched when students are </w:t>
      </w:r>
      <w:r w:rsidR="00404641" w:rsidRPr="0055782C">
        <w:rPr>
          <w:color w:val="000000" w:themeColor="text1"/>
          <w:sz w:val="24"/>
          <w:szCs w:val="24"/>
        </w:rPr>
        <w:t xml:space="preserve">engaged and curious about novel situations as seen in inquiry-based classrooms. Students should be aware of their metacognitive abilities and value depth of </w:t>
      </w:r>
      <w:r w:rsidR="0055782C" w:rsidRPr="0055782C">
        <w:rPr>
          <w:color w:val="000000" w:themeColor="text1"/>
          <w:sz w:val="24"/>
          <w:szCs w:val="24"/>
        </w:rPr>
        <w:t>content knowledge rather than breadth</w:t>
      </w:r>
      <w:r w:rsidR="0055782C">
        <w:rPr>
          <w:color w:val="4F81BD" w:themeColor="accent1"/>
          <w:sz w:val="24"/>
          <w:szCs w:val="24"/>
        </w:rPr>
        <w:t xml:space="preserve">. </w:t>
      </w:r>
    </w:p>
    <w:p w14:paraId="213CB9A2" w14:textId="634DDF4A" w:rsidR="00864B4E" w:rsidRPr="00FE5A54" w:rsidRDefault="0064571B" w:rsidP="004C6940">
      <w:pPr>
        <w:spacing w:line="480" w:lineRule="auto"/>
        <w:rPr>
          <w:color w:val="000000" w:themeColor="text1"/>
          <w:sz w:val="24"/>
          <w:szCs w:val="24"/>
        </w:rPr>
      </w:pPr>
      <w:r w:rsidRPr="0064571B">
        <w:rPr>
          <w:rFonts w:eastAsiaTheme="minorHAnsi"/>
          <w:iCs/>
          <w:color w:val="4F81BD" w:themeColor="accent1"/>
          <w:kern w:val="0"/>
          <w:sz w:val="24"/>
          <w:szCs w:val="24"/>
        </w:rPr>
        <w:tab/>
      </w:r>
      <w:r w:rsidRPr="00AF211F">
        <w:rPr>
          <w:rFonts w:eastAsiaTheme="minorHAnsi"/>
          <w:iCs/>
          <w:color w:val="000000" w:themeColor="text1"/>
          <w:kern w:val="0"/>
          <w:sz w:val="24"/>
          <w:szCs w:val="24"/>
        </w:rPr>
        <w:t xml:space="preserve">The quantitative data collected in this study show that, contrary to the </w:t>
      </w:r>
      <w:r w:rsidR="00AF211F" w:rsidRPr="00AF211F">
        <w:rPr>
          <w:rFonts w:eastAsiaTheme="minorHAnsi"/>
          <w:iCs/>
          <w:color w:val="000000" w:themeColor="text1"/>
          <w:kern w:val="0"/>
          <w:sz w:val="24"/>
          <w:szCs w:val="24"/>
        </w:rPr>
        <w:t>hypothesis;</w:t>
      </w:r>
      <w:r w:rsidRPr="00AF211F">
        <w:rPr>
          <w:rFonts w:eastAsiaTheme="minorHAnsi"/>
          <w:iCs/>
          <w:color w:val="000000" w:themeColor="text1"/>
          <w:kern w:val="0"/>
          <w:sz w:val="24"/>
          <w:szCs w:val="24"/>
        </w:rPr>
        <w:t xml:space="preserve"> </w:t>
      </w:r>
      <w:r w:rsidR="00AF211F" w:rsidRPr="00AF211F">
        <w:rPr>
          <w:rFonts w:eastAsiaTheme="minorHAnsi"/>
          <w:iCs/>
          <w:color w:val="000000" w:themeColor="text1"/>
          <w:kern w:val="0"/>
          <w:sz w:val="24"/>
          <w:szCs w:val="24"/>
        </w:rPr>
        <w:t>inquiry based teaching does not improved learning in a grade ten classroom for varying student ability levels</w:t>
      </w:r>
      <w:r w:rsidRPr="00AF211F">
        <w:rPr>
          <w:rFonts w:eastAsiaTheme="minorHAnsi"/>
          <w:iCs/>
          <w:color w:val="000000" w:themeColor="text1"/>
          <w:kern w:val="0"/>
          <w:sz w:val="24"/>
          <w:szCs w:val="24"/>
        </w:rPr>
        <w:t>.</w:t>
      </w:r>
      <w:r w:rsidRPr="0064571B">
        <w:rPr>
          <w:rFonts w:eastAsiaTheme="minorHAnsi"/>
          <w:iCs/>
          <w:color w:val="4F81BD" w:themeColor="accent1"/>
          <w:kern w:val="0"/>
          <w:sz w:val="24"/>
          <w:szCs w:val="24"/>
        </w:rPr>
        <w:t xml:space="preserve"> </w:t>
      </w:r>
      <w:r w:rsidR="00AF211F">
        <w:rPr>
          <w:rFonts w:eastAsiaTheme="minorHAnsi"/>
          <w:iCs/>
          <w:color w:val="000000" w:themeColor="text1"/>
          <w:kern w:val="0"/>
          <w:sz w:val="24"/>
          <w:szCs w:val="24"/>
        </w:rPr>
        <w:t xml:space="preserve">The class that received their lessons via inquiry-based teaching did have a better average from pretest to posttest; however, the </w:t>
      </w:r>
      <w:r w:rsidR="00AF211F" w:rsidRPr="00AF211F">
        <w:rPr>
          <w:rFonts w:eastAsiaTheme="minorHAnsi"/>
          <w:i/>
          <w:iCs/>
          <w:color w:val="000000" w:themeColor="text1"/>
          <w:kern w:val="0"/>
          <w:sz w:val="24"/>
          <w:szCs w:val="24"/>
        </w:rPr>
        <w:t>t</w:t>
      </w:r>
      <w:r w:rsidR="00AF211F">
        <w:rPr>
          <w:rFonts w:eastAsiaTheme="minorHAnsi"/>
          <w:iCs/>
          <w:color w:val="000000" w:themeColor="text1"/>
          <w:kern w:val="0"/>
          <w:sz w:val="24"/>
          <w:szCs w:val="24"/>
        </w:rPr>
        <w:t>-test levels for both the low and high ability students was greate</w:t>
      </w:r>
      <w:r w:rsidR="00153098">
        <w:rPr>
          <w:rFonts w:eastAsiaTheme="minorHAnsi"/>
          <w:iCs/>
          <w:color w:val="000000" w:themeColor="text1"/>
          <w:kern w:val="0"/>
          <w:sz w:val="24"/>
          <w:szCs w:val="24"/>
        </w:rPr>
        <w:t>r than 0.0</w:t>
      </w:r>
      <w:r w:rsidR="007C5FD0">
        <w:rPr>
          <w:rFonts w:eastAsiaTheme="minorHAnsi"/>
          <w:iCs/>
          <w:color w:val="000000" w:themeColor="text1"/>
          <w:kern w:val="0"/>
          <w:sz w:val="24"/>
          <w:szCs w:val="24"/>
        </w:rPr>
        <w:t xml:space="preserve">5. When the data from the inquiry-based teaching classroom was compared with the data from the traditional classroom it can be concluded that the traditional teaching methods were more beneficial. The averages for the low ability students in the traditional classroom from posttest to pretest were statistically significant and the overall average for the same posttest was </w:t>
      </w:r>
      <w:r w:rsidR="00E519B3">
        <w:rPr>
          <w:rFonts w:eastAsiaTheme="minorHAnsi"/>
          <w:iCs/>
          <w:color w:val="000000" w:themeColor="text1"/>
          <w:kern w:val="0"/>
          <w:sz w:val="24"/>
          <w:szCs w:val="24"/>
        </w:rPr>
        <w:t>9.9% higher. T</w:t>
      </w:r>
      <w:r w:rsidR="007C5FD0">
        <w:rPr>
          <w:rFonts w:eastAsiaTheme="minorHAnsi"/>
          <w:iCs/>
          <w:color w:val="000000" w:themeColor="text1"/>
          <w:kern w:val="0"/>
          <w:sz w:val="24"/>
          <w:szCs w:val="24"/>
        </w:rPr>
        <w:t>he average for the posttest for the high ability students in the traditional classroom were 6.9% higher the results from pretest to posttest for the high ability students in the traditional classroom were not statistically significant.</w:t>
      </w:r>
      <w:r w:rsidR="00E519B3">
        <w:rPr>
          <w:rFonts w:eastAsiaTheme="minorHAnsi"/>
          <w:iCs/>
          <w:color w:val="000000" w:themeColor="text1"/>
          <w:kern w:val="0"/>
          <w:sz w:val="24"/>
          <w:szCs w:val="24"/>
        </w:rPr>
        <w:t xml:space="preserve"> The high ability data from both the inquiry-based and traditional classroom was most likely a result of high pretest scrores which is referred to as the ceiling effect.</w:t>
      </w:r>
      <w:r w:rsidR="007C5FD0">
        <w:rPr>
          <w:rFonts w:eastAsiaTheme="minorHAnsi"/>
          <w:iCs/>
          <w:color w:val="000000" w:themeColor="text1"/>
          <w:kern w:val="0"/>
          <w:sz w:val="24"/>
          <w:szCs w:val="24"/>
        </w:rPr>
        <w:t xml:space="preserve"> These varying data results when comparing the traditional based classroom </w:t>
      </w:r>
      <w:r w:rsidR="009C2090">
        <w:rPr>
          <w:rFonts w:eastAsiaTheme="minorHAnsi"/>
          <w:iCs/>
          <w:color w:val="000000" w:themeColor="text1"/>
          <w:kern w:val="0"/>
          <w:sz w:val="24"/>
          <w:szCs w:val="24"/>
        </w:rPr>
        <w:t>was largely a result of students in the inquiry-based classroom not learning the most efficient of effective way to complete a problem. Often the students in the inquiry-based classroom would forget what they had discovered or learnt a method that was difficult to communicate and there was a greater chance for error when demonstrating their knowledge on the posttest.</w:t>
      </w:r>
      <w:r w:rsidRPr="00AF211F">
        <w:rPr>
          <w:color w:val="000000" w:themeColor="text1"/>
          <w:sz w:val="24"/>
          <w:szCs w:val="24"/>
        </w:rPr>
        <w:t xml:space="preserve"> The ensuing chapter will </w:t>
      </w:r>
      <w:r w:rsidR="00AF211F" w:rsidRPr="00AF211F">
        <w:rPr>
          <w:color w:val="000000" w:themeColor="text1"/>
          <w:sz w:val="24"/>
          <w:szCs w:val="24"/>
        </w:rPr>
        <w:t>comprise</w:t>
      </w:r>
      <w:r w:rsidRPr="00AF211F">
        <w:rPr>
          <w:color w:val="000000" w:themeColor="text1"/>
          <w:sz w:val="24"/>
          <w:szCs w:val="24"/>
        </w:rPr>
        <w:t xml:space="preserve"> a discussion of the results and how they relate to prior research, the implications for the field of education and </w:t>
      </w:r>
      <w:r w:rsidRPr="007D1DC5">
        <w:rPr>
          <w:color w:val="000000" w:themeColor="text1"/>
          <w:sz w:val="24"/>
          <w:szCs w:val="24"/>
        </w:rPr>
        <w:t>suggestions for future research.</w:t>
      </w:r>
    </w:p>
    <w:p w14:paraId="416CB0E6" w14:textId="77777777" w:rsidR="00EF7512" w:rsidRPr="00D25040" w:rsidRDefault="00EF7512" w:rsidP="004C6940">
      <w:pPr>
        <w:spacing w:line="480" w:lineRule="auto"/>
        <w:rPr>
          <w:b/>
          <w:color w:val="000000" w:themeColor="text1"/>
          <w:sz w:val="24"/>
          <w:szCs w:val="24"/>
        </w:rPr>
      </w:pPr>
      <w:r w:rsidRPr="00D25040">
        <w:rPr>
          <w:b/>
          <w:color w:val="000000" w:themeColor="text1"/>
          <w:sz w:val="24"/>
          <w:szCs w:val="24"/>
        </w:rPr>
        <w:t xml:space="preserve">Limitations and Delimitations </w:t>
      </w:r>
    </w:p>
    <w:p w14:paraId="2FF76865" w14:textId="4EFE396C" w:rsidR="00EF7512" w:rsidRPr="00335726" w:rsidRDefault="00EF7512" w:rsidP="004C6940">
      <w:pPr>
        <w:spacing w:line="480" w:lineRule="auto"/>
        <w:rPr>
          <w:color w:val="000000" w:themeColor="text1"/>
          <w:sz w:val="24"/>
          <w:szCs w:val="24"/>
        </w:rPr>
      </w:pPr>
      <w:r w:rsidRPr="00D25040">
        <w:rPr>
          <w:b/>
          <w:color w:val="000000" w:themeColor="text1"/>
          <w:sz w:val="24"/>
          <w:szCs w:val="24"/>
        </w:rPr>
        <w:tab/>
      </w:r>
      <w:r w:rsidR="00335726">
        <w:rPr>
          <w:color w:val="000000" w:themeColor="text1"/>
          <w:sz w:val="24"/>
          <w:szCs w:val="24"/>
        </w:rPr>
        <w:t>The study used</w:t>
      </w:r>
      <w:r w:rsidR="00335726" w:rsidRPr="00D25040">
        <w:rPr>
          <w:color w:val="000000" w:themeColor="text1"/>
          <w:sz w:val="24"/>
          <w:szCs w:val="24"/>
        </w:rPr>
        <w:t xml:space="preserve"> convenience sampling; therefore</w:t>
      </w:r>
      <w:r w:rsidR="00153098">
        <w:rPr>
          <w:color w:val="000000" w:themeColor="text1"/>
          <w:sz w:val="24"/>
          <w:szCs w:val="24"/>
        </w:rPr>
        <w:t>,</w:t>
      </w:r>
      <w:r w:rsidR="00335726" w:rsidRPr="00D25040">
        <w:rPr>
          <w:color w:val="000000" w:themeColor="text1"/>
          <w:sz w:val="24"/>
          <w:szCs w:val="24"/>
        </w:rPr>
        <w:t xml:space="preserve"> there are some limitations and biases of the study. </w:t>
      </w:r>
      <w:r w:rsidR="00335726" w:rsidRPr="007D1DC5">
        <w:rPr>
          <w:color w:val="000000" w:themeColor="text1"/>
          <w:sz w:val="24"/>
          <w:szCs w:val="24"/>
        </w:rPr>
        <w:t>As such a small sample size was available (</w:t>
      </w:r>
      <w:r w:rsidR="00335726" w:rsidRPr="007D1DC5">
        <w:rPr>
          <w:i/>
          <w:color w:val="000000" w:themeColor="text1"/>
          <w:sz w:val="24"/>
          <w:szCs w:val="24"/>
        </w:rPr>
        <w:t>N</w:t>
      </w:r>
      <w:r w:rsidR="00335726">
        <w:rPr>
          <w:color w:val="000000" w:themeColor="text1"/>
          <w:sz w:val="24"/>
          <w:szCs w:val="24"/>
        </w:rPr>
        <w:t>=41</w:t>
      </w:r>
      <w:r w:rsidR="00335726" w:rsidRPr="007D1DC5">
        <w:rPr>
          <w:color w:val="000000" w:themeColor="text1"/>
          <w:sz w:val="24"/>
          <w:szCs w:val="24"/>
        </w:rPr>
        <w:t xml:space="preserve">), the only two math classes taught during the first semester was purposefully selected to complete the pre- and post-assessments, and no randomization of the treatment occurred. </w:t>
      </w:r>
      <w:r w:rsidRPr="00D25040">
        <w:rPr>
          <w:color w:val="000000" w:themeColor="text1"/>
          <w:sz w:val="24"/>
          <w:szCs w:val="24"/>
        </w:rPr>
        <w:t>This study was conducted with two grade ten math classes at Notre Dame High School, in R</w:t>
      </w:r>
      <w:r>
        <w:rPr>
          <w:color w:val="000000" w:themeColor="text1"/>
          <w:sz w:val="24"/>
          <w:szCs w:val="24"/>
        </w:rPr>
        <w:t xml:space="preserve">ed Deer, Alberta. </w:t>
      </w:r>
      <w:r w:rsidRPr="00D25040">
        <w:rPr>
          <w:color w:val="000000" w:themeColor="text1"/>
          <w:sz w:val="24"/>
          <w:szCs w:val="24"/>
        </w:rPr>
        <w:t>Two grade ten math classes were dedicated to this study to compare and contrast traditional teaching methods to inquiry-based teaching methods. The size of the sample was small; therefore, the results of this study cannot be generalized to a larger sample size. All students participated in the pre- and post-assessments, no randomization of the participants occurred. Students did not have access to the pretest or posttests prior to the study being conduc</w:t>
      </w:r>
      <w:r>
        <w:rPr>
          <w:color w:val="000000" w:themeColor="text1"/>
          <w:sz w:val="24"/>
          <w:szCs w:val="24"/>
        </w:rPr>
        <w:t>ted. The same teacher taught</w:t>
      </w:r>
      <w:r w:rsidRPr="00D25040">
        <w:rPr>
          <w:color w:val="000000" w:themeColor="text1"/>
          <w:sz w:val="24"/>
          <w:szCs w:val="24"/>
        </w:rPr>
        <w:t xml:space="preserve"> both the students in the traditional teaching setting and the class receiving their instruction through inquiry-based lessons. Students did not know that they were a part of the study to avoid ob</w:t>
      </w:r>
      <w:r w:rsidR="003B63D7">
        <w:rPr>
          <w:color w:val="000000" w:themeColor="text1"/>
          <w:sz w:val="24"/>
          <w:szCs w:val="24"/>
        </w:rPr>
        <w:t>server bias. The results were focused on the a</w:t>
      </w:r>
      <w:r w:rsidRPr="00D25040">
        <w:rPr>
          <w:color w:val="000000" w:themeColor="text1"/>
          <w:sz w:val="24"/>
          <w:szCs w:val="24"/>
        </w:rPr>
        <w:t>ffects of the pedagogy based on the students’ previous academic achievement. The pr</w:t>
      </w:r>
      <w:r>
        <w:rPr>
          <w:color w:val="000000" w:themeColor="text1"/>
          <w:sz w:val="24"/>
          <w:szCs w:val="24"/>
        </w:rPr>
        <w:t>evious academic achievement was</w:t>
      </w:r>
      <w:r w:rsidRPr="00D25040">
        <w:rPr>
          <w:color w:val="000000" w:themeColor="text1"/>
          <w:sz w:val="24"/>
          <w:szCs w:val="24"/>
        </w:rPr>
        <w:t xml:space="preserve"> the average of pretest marks. Minorities, socioeconomic status, and other student achievement data w</w:t>
      </w:r>
      <w:r w:rsidR="003B63D7">
        <w:rPr>
          <w:color w:val="000000" w:themeColor="text1"/>
          <w:sz w:val="24"/>
          <w:szCs w:val="24"/>
        </w:rPr>
        <w:t>ere</w:t>
      </w:r>
      <w:r w:rsidRPr="00D25040">
        <w:rPr>
          <w:color w:val="000000" w:themeColor="text1"/>
          <w:sz w:val="24"/>
          <w:szCs w:val="24"/>
        </w:rPr>
        <w:t xml:space="preserve"> not </w:t>
      </w:r>
      <w:proofErr w:type="gramStart"/>
      <w:r w:rsidRPr="00D25040">
        <w:rPr>
          <w:color w:val="000000" w:themeColor="text1"/>
          <w:sz w:val="24"/>
          <w:szCs w:val="24"/>
        </w:rPr>
        <w:t>be</w:t>
      </w:r>
      <w:proofErr w:type="gramEnd"/>
      <w:r w:rsidRPr="00D25040">
        <w:rPr>
          <w:color w:val="000000" w:themeColor="text1"/>
          <w:sz w:val="24"/>
          <w:szCs w:val="24"/>
        </w:rPr>
        <w:t xml:space="preserve"> taken into consideration. Both the traditional-based learning class and the inquiry-based class </w:t>
      </w:r>
      <w:r w:rsidR="00153098">
        <w:rPr>
          <w:color w:val="000000" w:themeColor="text1"/>
          <w:sz w:val="24"/>
          <w:szCs w:val="24"/>
        </w:rPr>
        <w:t>received</w:t>
      </w:r>
      <w:r w:rsidRPr="00D25040">
        <w:rPr>
          <w:color w:val="000000" w:themeColor="text1"/>
          <w:sz w:val="24"/>
          <w:szCs w:val="24"/>
        </w:rPr>
        <w:t xml:space="preserve"> the same</w:t>
      </w:r>
      <w:r w:rsidR="00153098">
        <w:rPr>
          <w:color w:val="000000" w:themeColor="text1"/>
          <w:sz w:val="24"/>
          <w:szCs w:val="24"/>
        </w:rPr>
        <w:t xml:space="preserve"> common assessment for the unit</w:t>
      </w:r>
      <w:r w:rsidRPr="00D25040">
        <w:rPr>
          <w:color w:val="000000" w:themeColor="text1"/>
          <w:sz w:val="24"/>
          <w:szCs w:val="24"/>
        </w:rPr>
        <w:t>. The common assessment for the math department at Notre Dame High School is a paper and pen based exam with multiple choice, numerical response,</w:t>
      </w:r>
      <w:r w:rsidR="00335726">
        <w:rPr>
          <w:color w:val="000000" w:themeColor="text1"/>
          <w:sz w:val="24"/>
          <w:szCs w:val="24"/>
        </w:rPr>
        <w:t xml:space="preserve"> and written response questions.</w:t>
      </w:r>
    </w:p>
    <w:p w14:paraId="2F24C4B5" w14:textId="62F0D6BC" w:rsidR="00FE5A54" w:rsidRDefault="00843DE4" w:rsidP="004C6940">
      <w:pPr>
        <w:spacing w:line="480" w:lineRule="auto"/>
        <w:ind w:firstLine="720"/>
        <w:rPr>
          <w:color w:val="4F81BD" w:themeColor="accent1"/>
          <w:sz w:val="24"/>
          <w:szCs w:val="24"/>
        </w:rPr>
      </w:pPr>
      <w:r w:rsidRPr="007D1DC5">
        <w:rPr>
          <w:color w:val="000000" w:themeColor="text1"/>
          <w:sz w:val="24"/>
          <w:szCs w:val="24"/>
        </w:rPr>
        <w:t xml:space="preserve">Notre Dame High School uses a Response to Intervention (RTI) and High School Flexibility (FLEX) model. The additional RTI and FLEX time throughout the day allows students to seek extra math help from other teachers within the school at this time. During this time, the students in the inquiry-based classrooms could have received </w:t>
      </w:r>
      <w:r w:rsidR="007D1DC5" w:rsidRPr="007D1DC5">
        <w:rPr>
          <w:color w:val="000000" w:themeColor="text1"/>
          <w:sz w:val="24"/>
          <w:szCs w:val="24"/>
        </w:rPr>
        <w:t>traditional</w:t>
      </w:r>
      <w:r w:rsidRPr="007D1DC5">
        <w:rPr>
          <w:color w:val="000000" w:themeColor="text1"/>
          <w:sz w:val="24"/>
          <w:szCs w:val="24"/>
        </w:rPr>
        <w:t xml:space="preserve"> teachin</w:t>
      </w:r>
      <w:r w:rsidR="007D1DC5" w:rsidRPr="007D1DC5">
        <w:rPr>
          <w:color w:val="000000" w:themeColor="text1"/>
          <w:sz w:val="24"/>
          <w:szCs w:val="24"/>
        </w:rPr>
        <w:t>g style methods from colleagues. Also, the students in the traditional classes could have had access to math help via inquiry instruction. Students choosing to attend these RTI and FLEX math help sessions were beyond the control of the researcher.</w:t>
      </w:r>
      <w:r w:rsidR="007D1DC5">
        <w:rPr>
          <w:color w:val="4F81BD" w:themeColor="accent1"/>
          <w:sz w:val="24"/>
          <w:szCs w:val="24"/>
        </w:rPr>
        <w:t xml:space="preserve"> </w:t>
      </w:r>
      <w:r w:rsidR="0064571B" w:rsidRPr="00762A72">
        <w:rPr>
          <w:color w:val="000000" w:themeColor="text1"/>
          <w:sz w:val="24"/>
          <w:szCs w:val="24"/>
        </w:rPr>
        <w:t xml:space="preserve">Secondly, </w:t>
      </w:r>
      <w:r w:rsidR="00762A72" w:rsidRPr="00762A72">
        <w:rPr>
          <w:color w:val="000000" w:themeColor="text1"/>
          <w:sz w:val="24"/>
          <w:szCs w:val="24"/>
        </w:rPr>
        <w:t>two participants from the traditional classroom were getting homework help from tutors. Tutoring would have given these students an adv</w:t>
      </w:r>
      <w:r w:rsidR="00762A72">
        <w:rPr>
          <w:color w:val="000000" w:themeColor="text1"/>
          <w:sz w:val="24"/>
          <w:szCs w:val="24"/>
        </w:rPr>
        <w:t>antage to having assistance while</w:t>
      </w:r>
      <w:r w:rsidR="00762A72" w:rsidRPr="00762A72">
        <w:rPr>
          <w:color w:val="000000" w:themeColor="text1"/>
          <w:sz w:val="24"/>
          <w:szCs w:val="24"/>
        </w:rPr>
        <w:t xml:space="preserve"> working on the chapter </w:t>
      </w:r>
      <w:proofErr w:type="gramStart"/>
      <w:r w:rsidR="00762A72" w:rsidRPr="00762A72">
        <w:rPr>
          <w:color w:val="000000" w:themeColor="text1"/>
          <w:sz w:val="24"/>
          <w:szCs w:val="24"/>
        </w:rPr>
        <w:t>four homework</w:t>
      </w:r>
      <w:proofErr w:type="gramEnd"/>
      <w:r w:rsidR="00762A72" w:rsidRPr="00762A72">
        <w:rPr>
          <w:color w:val="000000" w:themeColor="text1"/>
          <w:sz w:val="24"/>
          <w:szCs w:val="24"/>
        </w:rPr>
        <w:t xml:space="preserve">. Also, one of the participants from the inquiry-based classroom was away from the classroom for a week due to being ill. These eternal factors were beyond the control of the researcher. </w:t>
      </w:r>
      <w:r w:rsidR="0064571B" w:rsidRPr="00762A72">
        <w:rPr>
          <w:color w:val="000000" w:themeColor="text1"/>
          <w:sz w:val="24"/>
          <w:szCs w:val="24"/>
        </w:rPr>
        <w:t xml:space="preserve">The time frame of the study certainly presented its own limitations.  The study was completed over a period of five weeks and was not enough to show definitive results.  Additionally, </w:t>
      </w:r>
      <w:r w:rsidR="00762A72" w:rsidRPr="00762A72">
        <w:rPr>
          <w:color w:val="000000" w:themeColor="text1"/>
          <w:sz w:val="24"/>
          <w:szCs w:val="24"/>
        </w:rPr>
        <w:t>the data did not include the students’ final exam marks to identify if the students retained more knowledge from the inquiry-based classroom in comparison to the traditional classroom</w:t>
      </w:r>
      <w:r w:rsidR="0064571B" w:rsidRPr="00762A72">
        <w:rPr>
          <w:color w:val="000000" w:themeColor="text1"/>
          <w:sz w:val="24"/>
          <w:szCs w:val="24"/>
        </w:rPr>
        <w:t>.  These data begin to suggest some quantifiable results; however, a longitudinal study with more participants is needed.</w:t>
      </w:r>
    </w:p>
    <w:p w14:paraId="0791C8A3" w14:textId="77777777" w:rsidR="0064571B" w:rsidRPr="00762A72" w:rsidRDefault="0064571B" w:rsidP="004C6940">
      <w:pPr>
        <w:spacing w:line="480" w:lineRule="auto"/>
        <w:rPr>
          <w:b/>
          <w:color w:val="000000" w:themeColor="text1"/>
          <w:sz w:val="24"/>
          <w:szCs w:val="24"/>
        </w:rPr>
      </w:pPr>
      <w:r w:rsidRPr="00762A72">
        <w:rPr>
          <w:b/>
          <w:color w:val="000000" w:themeColor="text1"/>
          <w:sz w:val="24"/>
          <w:szCs w:val="24"/>
        </w:rPr>
        <w:t>Implications for the Field of Education</w:t>
      </w:r>
    </w:p>
    <w:p w14:paraId="7ECAC7F0" w14:textId="01C123A5" w:rsidR="0064571B" w:rsidRDefault="0064571B" w:rsidP="004C6940">
      <w:pPr>
        <w:spacing w:line="480" w:lineRule="auto"/>
        <w:rPr>
          <w:color w:val="4F81BD" w:themeColor="accent1"/>
          <w:sz w:val="24"/>
          <w:szCs w:val="24"/>
        </w:rPr>
      </w:pPr>
      <w:r w:rsidRPr="00762A72">
        <w:rPr>
          <w:b/>
          <w:color w:val="000000" w:themeColor="text1"/>
          <w:sz w:val="24"/>
          <w:szCs w:val="24"/>
        </w:rPr>
        <w:tab/>
      </w:r>
      <w:r w:rsidRPr="00762A72">
        <w:rPr>
          <w:color w:val="000000" w:themeColor="text1"/>
          <w:sz w:val="24"/>
          <w:szCs w:val="24"/>
        </w:rPr>
        <w:t xml:space="preserve">Despite the many limitations involved in this study, the results provided an insight into the </w:t>
      </w:r>
      <w:r w:rsidR="00762A72" w:rsidRPr="00762A72">
        <w:rPr>
          <w:color w:val="000000" w:themeColor="text1"/>
          <w:sz w:val="24"/>
          <w:szCs w:val="24"/>
        </w:rPr>
        <w:t>how to best teach new concepts in a grade ten math class</w:t>
      </w:r>
      <w:r w:rsidRPr="00762A72">
        <w:rPr>
          <w:color w:val="000000" w:themeColor="text1"/>
          <w:sz w:val="24"/>
          <w:szCs w:val="24"/>
        </w:rPr>
        <w:t>.  Specifically,</w:t>
      </w:r>
      <w:r w:rsidR="00762A72" w:rsidRPr="00762A72">
        <w:rPr>
          <w:color w:val="000000" w:themeColor="text1"/>
          <w:sz w:val="24"/>
          <w:szCs w:val="24"/>
        </w:rPr>
        <w:t xml:space="preserve"> whether teaching mathematics via inquiry-based teaching methods is superior to traditional teaching methods for varying </w:t>
      </w:r>
      <w:r w:rsidR="00762A72" w:rsidRPr="00886F97">
        <w:rPr>
          <w:color w:val="000000" w:themeColor="text1"/>
          <w:sz w:val="24"/>
          <w:szCs w:val="24"/>
        </w:rPr>
        <w:t>ability levels in a math classroom</w:t>
      </w:r>
      <w:r w:rsidRPr="00886F97">
        <w:rPr>
          <w:color w:val="000000" w:themeColor="text1"/>
          <w:sz w:val="24"/>
          <w:szCs w:val="24"/>
        </w:rPr>
        <w:t xml:space="preserve">.  </w:t>
      </w:r>
      <w:r w:rsidR="00886F97" w:rsidRPr="00886F97">
        <w:rPr>
          <w:color w:val="000000" w:themeColor="text1"/>
          <w:sz w:val="24"/>
          <w:szCs w:val="24"/>
        </w:rPr>
        <w:t xml:space="preserve">Anderson (2002) argues that inquiry is the heart of all learning and that teachers who embrace inquiry teaching will allow students to fully develop knowledge and understanding. </w:t>
      </w:r>
      <w:r w:rsidRPr="00886F97">
        <w:rPr>
          <w:color w:val="000000" w:themeColor="text1"/>
          <w:sz w:val="24"/>
          <w:szCs w:val="24"/>
        </w:rPr>
        <w:t xml:space="preserve">However, </w:t>
      </w:r>
      <w:r w:rsidR="00886F97" w:rsidRPr="00886F97">
        <w:rPr>
          <w:color w:val="000000" w:themeColor="text1"/>
          <w:sz w:val="24"/>
          <w:szCs w:val="24"/>
        </w:rPr>
        <w:t>inquiry learning and teaching did not create statistically significant gains that would encourage a math teacher in a Math 10C classroom to drastically change pedagogical practices.</w:t>
      </w:r>
      <w:r w:rsidR="00304CED">
        <w:rPr>
          <w:color w:val="000000" w:themeColor="text1"/>
          <w:sz w:val="24"/>
          <w:szCs w:val="24"/>
        </w:rPr>
        <w:t xml:space="preserve"> It is important to invest time into inquiry-based learning for students to create memorable and strong learning experiences (Alberta Education, 2004). According to Anderson (2002) there are three barriers that are inhibiting inquiry learning to have strong results in the classroom: technical dimension, political dimension, and cultural dimension. The technical dimension includes teachers struggling with students participating in group work, assessment changes, and lack of in-service opportunities to learn about inquiry teaching. The political dimension refers to teachers not collaborating effectively, parents resisting change, and a lack of resources. Finally, the cultural dimension focuses of teachers feeling as though trying a new style of teaching might not prepares students for the next level; therefore, continue to teach with the text</w:t>
      </w:r>
      <w:r w:rsidR="009220E3">
        <w:rPr>
          <w:color w:val="000000" w:themeColor="text1"/>
          <w:sz w:val="24"/>
          <w:szCs w:val="24"/>
        </w:rPr>
        <w:t>book is safe. After conduc</w:t>
      </w:r>
      <w:r w:rsidR="00CC4FF6">
        <w:rPr>
          <w:color w:val="000000" w:themeColor="text1"/>
          <w:sz w:val="24"/>
          <w:szCs w:val="24"/>
        </w:rPr>
        <w:t>ting this study, two other barriers</w:t>
      </w:r>
      <w:r w:rsidR="003B63D7">
        <w:rPr>
          <w:color w:val="000000" w:themeColor="text1"/>
          <w:sz w:val="24"/>
          <w:szCs w:val="24"/>
        </w:rPr>
        <w:t xml:space="preserve"> in addition</w:t>
      </w:r>
      <w:r w:rsidR="009220E3">
        <w:rPr>
          <w:color w:val="000000" w:themeColor="text1"/>
          <w:sz w:val="24"/>
          <w:szCs w:val="24"/>
        </w:rPr>
        <w:t xml:space="preserve"> to Anderson’s barriers for the context of Alberta: knowledge</w:t>
      </w:r>
      <w:r w:rsidR="00CC4FF6">
        <w:rPr>
          <w:color w:val="000000" w:themeColor="text1"/>
          <w:sz w:val="24"/>
          <w:szCs w:val="24"/>
        </w:rPr>
        <w:t xml:space="preserve"> dimension</w:t>
      </w:r>
      <w:r w:rsidR="009220E3">
        <w:rPr>
          <w:color w:val="000000" w:themeColor="text1"/>
          <w:sz w:val="24"/>
          <w:szCs w:val="24"/>
        </w:rPr>
        <w:t xml:space="preserve"> and content dimension. Many of the students in the Math 10C class came from many different middle schools</w:t>
      </w:r>
      <w:r w:rsidR="005B1F73">
        <w:rPr>
          <w:color w:val="000000" w:themeColor="text1"/>
          <w:sz w:val="24"/>
          <w:szCs w:val="24"/>
        </w:rPr>
        <w:t>;</w:t>
      </w:r>
      <w:r w:rsidR="009220E3">
        <w:rPr>
          <w:color w:val="000000" w:themeColor="text1"/>
          <w:sz w:val="24"/>
          <w:szCs w:val="24"/>
        </w:rPr>
        <w:t xml:space="preserve"> which</w:t>
      </w:r>
      <w:r w:rsidR="00CC4FF6">
        <w:rPr>
          <w:color w:val="000000" w:themeColor="text1"/>
          <w:sz w:val="24"/>
          <w:szCs w:val="24"/>
        </w:rPr>
        <w:t xml:space="preserve"> resulted in their math knowledge base to differ from school to school. Alt</w:t>
      </w:r>
      <w:r w:rsidR="00153098">
        <w:rPr>
          <w:color w:val="000000" w:themeColor="text1"/>
          <w:sz w:val="24"/>
          <w:szCs w:val="24"/>
        </w:rPr>
        <w:t>hough the students had all received</w:t>
      </w:r>
      <w:r w:rsidR="00CC4FF6">
        <w:rPr>
          <w:color w:val="000000" w:themeColor="text1"/>
          <w:sz w:val="24"/>
          <w:szCs w:val="24"/>
        </w:rPr>
        <w:t xml:space="preserve"> the same curriculum in grade nine, the strengths of students ranged from students who could not multiply to students who could </w:t>
      </w:r>
      <w:r w:rsidR="00A23EAD">
        <w:rPr>
          <w:color w:val="000000" w:themeColor="text1"/>
          <w:sz w:val="24"/>
          <w:szCs w:val="24"/>
        </w:rPr>
        <w:t>learn complex content in two days. Implementing inquiry learning while differentiating instruction became an obstacle throughout this study.</w:t>
      </w:r>
    </w:p>
    <w:p w14:paraId="0E977768" w14:textId="74CB7DA9" w:rsidR="00886F97" w:rsidRPr="0064571B" w:rsidRDefault="005B1F73" w:rsidP="004C6940">
      <w:pPr>
        <w:spacing w:line="480" w:lineRule="auto"/>
        <w:ind w:firstLine="720"/>
        <w:rPr>
          <w:color w:val="4F81BD" w:themeColor="accent1"/>
          <w:sz w:val="24"/>
          <w:szCs w:val="24"/>
        </w:rPr>
      </w:pPr>
      <w:r>
        <w:rPr>
          <w:color w:val="000000" w:themeColor="text1"/>
          <w:sz w:val="24"/>
          <w:szCs w:val="24"/>
        </w:rPr>
        <w:t>Many of the studies regarding inquiry teaching were from science classrooms. There were few studies conducted from mathematics classrooms. Some mathematics concepts are quite theoretical and are difficult for students to apply to a real-world example or visualize; thus making it challenging</w:t>
      </w:r>
      <w:r w:rsidR="00F76EC7">
        <w:rPr>
          <w:color w:val="000000" w:themeColor="text1"/>
          <w:sz w:val="24"/>
          <w:szCs w:val="24"/>
        </w:rPr>
        <w:t xml:space="preserve"> to discover the content. Therefore, it was not a</w:t>
      </w:r>
      <w:r w:rsidR="00886F97" w:rsidRPr="00886F97">
        <w:rPr>
          <w:color w:val="000000" w:themeColor="text1"/>
          <w:sz w:val="24"/>
          <w:szCs w:val="24"/>
        </w:rPr>
        <w:t>n une</w:t>
      </w:r>
      <w:r w:rsidR="00F76EC7">
        <w:rPr>
          <w:color w:val="000000" w:themeColor="text1"/>
          <w:sz w:val="24"/>
          <w:szCs w:val="24"/>
        </w:rPr>
        <w:t>xpected result of this study when</w:t>
      </w:r>
      <w:r w:rsidR="00886F97" w:rsidRPr="00886F97">
        <w:rPr>
          <w:color w:val="000000" w:themeColor="text1"/>
          <w:sz w:val="24"/>
          <w:szCs w:val="24"/>
        </w:rPr>
        <w:t xml:space="preserve"> students who struggle with math having more learning </w:t>
      </w:r>
      <w:r w:rsidR="00F76EC7" w:rsidRPr="00886F97">
        <w:rPr>
          <w:color w:val="000000" w:themeColor="text1"/>
          <w:sz w:val="24"/>
          <w:szCs w:val="24"/>
        </w:rPr>
        <w:t>gain</w:t>
      </w:r>
      <w:r w:rsidR="00886F97" w:rsidRPr="00886F97">
        <w:rPr>
          <w:color w:val="000000" w:themeColor="text1"/>
          <w:sz w:val="24"/>
          <w:szCs w:val="24"/>
        </w:rPr>
        <w:t xml:space="preserve"> to the traditional teaching styles.</w:t>
      </w:r>
      <w:r w:rsidR="00F76EC7">
        <w:rPr>
          <w:color w:val="000000" w:themeColor="text1"/>
          <w:sz w:val="24"/>
          <w:szCs w:val="24"/>
        </w:rPr>
        <w:t xml:space="preserve"> Furthermore, i</w:t>
      </w:r>
      <w:r w:rsidR="00886F97" w:rsidRPr="008C42B2">
        <w:rPr>
          <w:color w:val="000000" w:themeColor="text1"/>
          <w:sz w:val="24"/>
          <w:szCs w:val="24"/>
        </w:rPr>
        <w:t xml:space="preserve">t was also interesting hearing the dialogue of the struggling math </w:t>
      </w:r>
      <w:r w:rsidR="00886F97" w:rsidRPr="00F76EC7">
        <w:rPr>
          <w:color w:val="000000" w:themeColor="text1"/>
          <w:sz w:val="24"/>
          <w:szCs w:val="24"/>
        </w:rPr>
        <w:t>students in the inqui</w:t>
      </w:r>
      <w:r w:rsidR="00153098">
        <w:rPr>
          <w:color w:val="000000" w:themeColor="text1"/>
          <w:sz w:val="24"/>
          <w:szCs w:val="24"/>
        </w:rPr>
        <w:t>ry-based teaching method who found</w:t>
      </w:r>
      <w:r w:rsidR="00886F97" w:rsidRPr="00F76EC7">
        <w:rPr>
          <w:color w:val="000000" w:themeColor="text1"/>
          <w:sz w:val="24"/>
          <w:szCs w:val="24"/>
        </w:rPr>
        <w:t xml:space="preserve"> it challenging to understand the concept and find motivation to learn the material.</w:t>
      </w:r>
      <w:r w:rsidR="00F76EC7" w:rsidRPr="00F76EC7">
        <w:rPr>
          <w:color w:val="000000" w:themeColor="text1"/>
          <w:sz w:val="24"/>
          <w:szCs w:val="24"/>
        </w:rPr>
        <w:t xml:space="preserve"> The results of this study would have been more favorable to inquiry learning at the content been easier to visualize and apply</w:t>
      </w:r>
      <w:r w:rsidR="003B63D7">
        <w:rPr>
          <w:color w:val="000000" w:themeColor="text1"/>
          <w:sz w:val="24"/>
          <w:szCs w:val="24"/>
        </w:rPr>
        <w:t>. The measurement unit from the Math 10C curriculum might have been</w:t>
      </w:r>
      <w:r w:rsidR="00153098">
        <w:rPr>
          <w:color w:val="000000" w:themeColor="text1"/>
          <w:sz w:val="24"/>
          <w:szCs w:val="24"/>
        </w:rPr>
        <w:t xml:space="preserve"> a unit where the inquiry-bas</w:t>
      </w:r>
      <w:r w:rsidR="003B63D7">
        <w:rPr>
          <w:color w:val="000000" w:themeColor="text1"/>
          <w:sz w:val="24"/>
          <w:szCs w:val="24"/>
        </w:rPr>
        <w:t>ed teaching could have been had more</w:t>
      </w:r>
      <w:r w:rsidR="00153098">
        <w:rPr>
          <w:color w:val="000000" w:themeColor="text1"/>
          <w:sz w:val="24"/>
          <w:szCs w:val="24"/>
        </w:rPr>
        <w:t xml:space="preserve"> successful </w:t>
      </w:r>
      <w:r w:rsidR="003B63D7">
        <w:rPr>
          <w:color w:val="000000" w:themeColor="text1"/>
          <w:sz w:val="24"/>
          <w:szCs w:val="24"/>
        </w:rPr>
        <w:t>results.</w:t>
      </w:r>
    </w:p>
    <w:p w14:paraId="44654144" w14:textId="77777777" w:rsidR="0064571B" w:rsidRPr="00F76EC7" w:rsidRDefault="0064571B" w:rsidP="004C6940">
      <w:pPr>
        <w:spacing w:line="480" w:lineRule="auto"/>
        <w:rPr>
          <w:b/>
          <w:color w:val="000000" w:themeColor="text1"/>
          <w:sz w:val="24"/>
          <w:szCs w:val="24"/>
        </w:rPr>
      </w:pPr>
      <w:r w:rsidRPr="00F76EC7">
        <w:rPr>
          <w:b/>
          <w:color w:val="000000" w:themeColor="text1"/>
          <w:sz w:val="24"/>
          <w:szCs w:val="24"/>
        </w:rPr>
        <w:t>Future Research</w:t>
      </w:r>
    </w:p>
    <w:p w14:paraId="3110B71D" w14:textId="685EADCE" w:rsidR="001F1E01" w:rsidRDefault="0064571B" w:rsidP="004C6940">
      <w:pPr>
        <w:spacing w:line="480" w:lineRule="auto"/>
        <w:rPr>
          <w:color w:val="000000" w:themeColor="text1"/>
          <w:sz w:val="24"/>
          <w:szCs w:val="24"/>
        </w:rPr>
      </w:pPr>
      <w:r w:rsidRPr="00F76EC7">
        <w:rPr>
          <w:b/>
          <w:color w:val="000000" w:themeColor="text1"/>
          <w:sz w:val="24"/>
          <w:szCs w:val="24"/>
        </w:rPr>
        <w:tab/>
      </w:r>
      <w:r w:rsidRPr="00F76EC7">
        <w:rPr>
          <w:color w:val="000000" w:themeColor="text1"/>
          <w:sz w:val="24"/>
          <w:szCs w:val="24"/>
        </w:rPr>
        <w:t>To improve this study for future research, there are a few recommended changes.  Firstly, the participants</w:t>
      </w:r>
      <w:r w:rsidRPr="008C42B2">
        <w:rPr>
          <w:color w:val="000000" w:themeColor="text1"/>
          <w:sz w:val="24"/>
          <w:szCs w:val="24"/>
        </w:rPr>
        <w:t xml:space="preserve"> should be more than </w:t>
      </w:r>
      <w:r w:rsidR="008C42B2" w:rsidRPr="008C42B2">
        <w:rPr>
          <w:color w:val="000000" w:themeColor="text1"/>
          <w:sz w:val="24"/>
          <w:szCs w:val="24"/>
        </w:rPr>
        <w:t>100 students from a variety of high schools within a region</w:t>
      </w:r>
      <w:r w:rsidRPr="008C42B2">
        <w:rPr>
          <w:color w:val="000000" w:themeColor="text1"/>
          <w:sz w:val="24"/>
          <w:szCs w:val="24"/>
        </w:rPr>
        <w:t>.</w:t>
      </w:r>
      <w:r w:rsidRPr="0064571B">
        <w:rPr>
          <w:color w:val="4F81BD" w:themeColor="accent1"/>
          <w:sz w:val="24"/>
          <w:szCs w:val="24"/>
        </w:rPr>
        <w:t xml:space="preserve"> </w:t>
      </w:r>
      <w:r w:rsidRPr="008C42B2">
        <w:rPr>
          <w:color w:val="000000" w:themeColor="text1"/>
          <w:sz w:val="24"/>
          <w:szCs w:val="24"/>
        </w:rPr>
        <w:t xml:space="preserve"> Secondly, a longitudinal study would benefit this research </w:t>
      </w:r>
      <w:r w:rsidRPr="00185C07">
        <w:rPr>
          <w:color w:val="000000" w:themeColor="text1"/>
          <w:sz w:val="24"/>
          <w:szCs w:val="24"/>
        </w:rPr>
        <w:t xml:space="preserve">greatly.  One such opportunity would be to </w:t>
      </w:r>
      <w:r w:rsidR="0002527E" w:rsidRPr="00185C07">
        <w:rPr>
          <w:color w:val="000000" w:themeColor="text1"/>
          <w:sz w:val="24"/>
          <w:szCs w:val="24"/>
        </w:rPr>
        <w:t>collect data throughout the course of a</w:t>
      </w:r>
      <w:r w:rsidR="00153098">
        <w:rPr>
          <w:color w:val="000000" w:themeColor="text1"/>
          <w:sz w:val="24"/>
          <w:szCs w:val="24"/>
        </w:rPr>
        <w:t>n entire</w:t>
      </w:r>
      <w:r w:rsidR="0002527E" w:rsidRPr="00185C07">
        <w:rPr>
          <w:color w:val="000000" w:themeColor="text1"/>
          <w:sz w:val="24"/>
          <w:szCs w:val="24"/>
        </w:rPr>
        <w:t xml:space="preserve"> semeste</w:t>
      </w:r>
      <w:r w:rsidR="00A57643" w:rsidRPr="00185C07">
        <w:rPr>
          <w:color w:val="000000" w:themeColor="text1"/>
          <w:sz w:val="24"/>
          <w:szCs w:val="24"/>
        </w:rPr>
        <w:t>r. These data could identify which units the inquiry-based learning was more effective. Also, th</w:t>
      </w:r>
      <w:r w:rsidR="00185C07">
        <w:rPr>
          <w:color w:val="000000" w:themeColor="text1"/>
          <w:sz w:val="24"/>
          <w:szCs w:val="24"/>
        </w:rPr>
        <w:t>e researcher could identify the information retained from the beginning of the semester to the end of the semester to determine which teaching method is the best for the cumulative Math 10C.</w:t>
      </w:r>
    </w:p>
    <w:p w14:paraId="62668140" w14:textId="4D4E3B89" w:rsidR="00B85290" w:rsidRDefault="00B85290" w:rsidP="004C6940">
      <w:pPr>
        <w:spacing w:line="480" w:lineRule="auto"/>
        <w:ind w:firstLine="720"/>
        <w:rPr>
          <w:color w:val="000000" w:themeColor="text1"/>
          <w:sz w:val="24"/>
          <w:szCs w:val="24"/>
        </w:rPr>
      </w:pPr>
      <w:r>
        <w:rPr>
          <w:color w:val="000000" w:themeColor="text1"/>
          <w:sz w:val="24"/>
          <w:szCs w:val="24"/>
        </w:rPr>
        <w:t xml:space="preserve">The study could have also been improved by teaching </w:t>
      </w:r>
      <w:r w:rsidR="00153098">
        <w:rPr>
          <w:color w:val="000000" w:themeColor="text1"/>
          <w:sz w:val="24"/>
          <w:szCs w:val="24"/>
        </w:rPr>
        <w:t xml:space="preserve">the same group of </w:t>
      </w:r>
      <w:r>
        <w:rPr>
          <w:color w:val="000000" w:themeColor="text1"/>
          <w:sz w:val="24"/>
          <w:szCs w:val="24"/>
        </w:rPr>
        <w:t>student</w:t>
      </w:r>
      <w:r w:rsidR="00153098">
        <w:rPr>
          <w:color w:val="000000" w:themeColor="text1"/>
          <w:sz w:val="24"/>
          <w:szCs w:val="24"/>
        </w:rPr>
        <w:t>s</w:t>
      </w:r>
      <w:r>
        <w:rPr>
          <w:color w:val="000000" w:themeColor="text1"/>
          <w:sz w:val="24"/>
          <w:szCs w:val="24"/>
        </w:rPr>
        <w:t xml:space="preserve"> science and math using inquiry-based teaching strategies in both classes. Teaching the students using inquiry-based methods in both classes would help the researcher identify if the same students responded better to science, math, both or neither using inquiry-based methods. Also, this study should be conducted at multiple grade levels to determine whether the inquiry-based teaching methods are more beneficial at one grade level than </w:t>
      </w:r>
      <w:r w:rsidR="00153098">
        <w:rPr>
          <w:color w:val="000000" w:themeColor="text1"/>
          <w:sz w:val="24"/>
          <w:szCs w:val="24"/>
        </w:rPr>
        <w:t xml:space="preserve">in comparison to </w:t>
      </w:r>
      <w:r>
        <w:rPr>
          <w:color w:val="000000" w:themeColor="text1"/>
          <w:sz w:val="24"/>
          <w:szCs w:val="24"/>
        </w:rPr>
        <w:t>another.</w:t>
      </w:r>
    </w:p>
    <w:p w14:paraId="351BD0EC" w14:textId="77777777" w:rsidR="00F91860" w:rsidRDefault="00B85290" w:rsidP="004C6940">
      <w:pPr>
        <w:spacing w:line="480" w:lineRule="auto"/>
        <w:ind w:firstLine="720"/>
        <w:rPr>
          <w:color w:val="000000" w:themeColor="text1"/>
          <w:sz w:val="24"/>
          <w:szCs w:val="24"/>
        </w:rPr>
      </w:pPr>
      <w:r>
        <w:rPr>
          <w:color w:val="000000" w:themeColor="text1"/>
          <w:sz w:val="24"/>
          <w:szCs w:val="24"/>
        </w:rPr>
        <w:t xml:space="preserve">When a students are first introduced to inquiry-based teaching methods the teacher has to spend a large amount of time introducing how to </w:t>
      </w:r>
      <w:r w:rsidR="00F91860">
        <w:rPr>
          <w:color w:val="000000" w:themeColor="text1"/>
          <w:sz w:val="24"/>
          <w:szCs w:val="24"/>
        </w:rPr>
        <w:t>collaborate with peers and find quality information from a variety of sources</w:t>
      </w:r>
      <w:r w:rsidR="00F91860" w:rsidRPr="00F91860">
        <w:rPr>
          <w:color w:val="000000" w:themeColor="text1"/>
          <w:sz w:val="24"/>
          <w:szCs w:val="24"/>
        </w:rPr>
        <w:t xml:space="preserve"> </w:t>
      </w:r>
      <w:r w:rsidR="00F91860" w:rsidRPr="00D25040">
        <w:rPr>
          <w:color w:val="000000" w:themeColor="text1"/>
          <w:sz w:val="24"/>
          <w:szCs w:val="24"/>
        </w:rPr>
        <w:t>Kirschner et al. (2006)</w:t>
      </w:r>
      <w:r w:rsidR="00F91860">
        <w:rPr>
          <w:color w:val="000000" w:themeColor="text1"/>
          <w:sz w:val="24"/>
          <w:szCs w:val="24"/>
        </w:rPr>
        <w:t>. Another improvement to this study would be teaching students via inquiry-based methods for an entire high school career to determine if the students can continue their inquiry learning skills from year to year.</w:t>
      </w:r>
    </w:p>
    <w:p w14:paraId="6B55D0D4" w14:textId="33341C72" w:rsidR="00E519B3" w:rsidRPr="00E519B3" w:rsidRDefault="00E519B3" w:rsidP="004C6940">
      <w:pPr>
        <w:spacing w:line="480" w:lineRule="auto"/>
        <w:ind w:firstLine="720"/>
        <w:rPr>
          <w:b/>
          <w:sz w:val="24"/>
          <w:szCs w:val="24"/>
        </w:rPr>
      </w:pPr>
      <w:r>
        <w:rPr>
          <w:sz w:val="24"/>
          <w:szCs w:val="24"/>
        </w:rPr>
        <w:t>Furthermore, the results of the high achieving students having insignificant results in both classrooms are questionable. Further research could also consider how the affects of inquiry-based teaching methods in an advanced classroom to narrow the focus of the study.</w:t>
      </w:r>
    </w:p>
    <w:p w14:paraId="7B85A9F0" w14:textId="60EED8B8" w:rsidR="0064571B" w:rsidRPr="0064571B" w:rsidRDefault="00F91860" w:rsidP="004C6940">
      <w:pPr>
        <w:spacing w:line="480" w:lineRule="auto"/>
        <w:ind w:firstLine="720"/>
        <w:rPr>
          <w:color w:val="4F81BD" w:themeColor="accent1"/>
          <w:sz w:val="24"/>
          <w:szCs w:val="24"/>
        </w:rPr>
      </w:pPr>
      <w:r>
        <w:rPr>
          <w:color w:val="000000" w:themeColor="text1"/>
          <w:sz w:val="24"/>
          <w:szCs w:val="24"/>
        </w:rPr>
        <w:t xml:space="preserve">Lastly, this study could have improved by analyzing the results of more than one teacher at a school attempting inquiry-based learning. Anderson (2002) argues that when more than one teacher is teaching the same course there is an opportunity for collegial conversation. This increased collaboration can often encourage the </w:t>
      </w:r>
      <w:r w:rsidR="00BB44CD">
        <w:rPr>
          <w:color w:val="000000" w:themeColor="text1"/>
          <w:sz w:val="24"/>
          <w:szCs w:val="24"/>
        </w:rPr>
        <w:t>generation</w:t>
      </w:r>
      <w:r>
        <w:rPr>
          <w:color w:val="000000" w:themeColor="text1"/>
          <w:sz w:val="24"/>
          <w:szCs w:val="24"/>
        </w:rPr>
        <w:t xml:space="preserve"> of more authentic ideas and increased knowledge of improved pedagogical practices.</w:t>
      </w:r>
      <w:r w:rsidR="0064571B" w:rsidRPr="0064571B">
        <w:rPr>
          <w:color w:val="4F81BD" w:themeColor="accent1"/>
          <w:sz w:val="24"/>
          <w:szCs w:val="24"/>
        </w:rPr>
        <w:t xml:space="preserve"> </w:t>
      </w:r>
    </w:p>
    <w:p w14:paraId="51D54D07" w14:textId="77777777" w:rsidR="0064571B" w:rsidRPr="00BB44CD" w:rsidRDefault="0064571B" w:rsidP="004C6940">
      <w:pPr>
        <w:spacing w:line="480" w:lineRule="auto"/>
        <w:rPr>
          <w:b/>
          <w:color w:val="000000" w:themeColor="text1"/>
          <w:sz w:val="24"/>
          <w:szCs w:val="24"/>
        </w:rPr>
      </w:pPr>
      <w:r w:rsidRPr="00BB44CD">
        <w:rPr>
          <w:b/>
          <w:color w:val="000000" w:themeColor="text1"/>
          <w:sz w:val="24"/>
          <w:szCs w:val="24"/>
        </w:rPr>
        <w:t>Summary</w:t>
      </w:r>
    </w:p>
    <w:p w14:paraId="7EF8F4A8" w14:textId="7646130F" w:rsidR="0064571B" w:rsidRPr="00970187" w:rsidRDefault="0064571B" w:rsidP="004C6940">
      <w:pPr>
        <w:spacing w:line="480" w:lineRule="auto"/>
        <w:rPr>
          <w:color w:val="000000" w:themeColor="text1"/>
          <w:sz w:val="24"/>
          <w:szCs w:val="24"/>
        </w:rPr>
      </w:pPr>
      <w:r w:rsidRPr="0064571B">
        <w:rPr>
          <w:b/>
          <w:color w:val="4F81BD" w:themeColor="accent1"/>
          <w:sz w:val="24"/>
          <w:szCs w:val="24"/>
        </w:rPr>
        <w:tab/>
      </w:r>
      <w:r w:rsidR="00BB44CD" w:rsidRPr="00D25040">
        <w:rPr>
          <w:color w:val="000000" w:themeColor="text1"/>
          <w:sz w:val="24"/>
          <w:szCs w:val="24"/>
        </w:rPr>
        <w:t>The</w:t>
      </w:r>
      <w:r w:rsidR="00BB44CD">
        <w:rPr>
          <w:color w:val="000000" w:themeColor="text1"/>
          <w:sz w:val="24"/>
          <w:szCs w:val="24"/>
        </w:rPr>
        <w:t xml:space="preserve"> purpose of this investigation wa</w:t>
      </w:r>
      <w:r w:rsidR="00BB44CD" w:rsidRPr="00D25040">
        <w:rPr>
          <w:color w:val="000000" w:themeColor="text1"/>
          <w:sz w:val="24"/>
          <w:szCs w:val="24"/>
        </w:rPr>
        <w:t xml:space="preserve">s to determine how inquiry-based teaching methods affect various ability levels in a grade ten math </w:t>
      </w:r>
      <w:r w:rsidR="00BB44CD" w:rsidRPr="00970187">
        <w:rPr>
          <w:color w:val="000000" w:themeColor="text1"/>
          <w:sz w:val="24"/>
          <w:szCs w:val="24"/>
        </w:rPr>
        <w:t xml:space="preserve">classroom. </w:t>
      </w:r>
      <w:r w:rsidRPr="00970187">
        <w:rPr>
          <w:color w:val="000000" w:themeColor="text1"/>
          <w:sz w:val="24"/>
          <w:szCs w:val="24"/>
        </w:rPr>
        <w:t xml:space="preserve">The results of the study indicate that </w:t>
      </w:r>
      <w:r w:rsidR="00970187" w:rsidRPr="00970187">
        <w:rPr>
          <w:color w:val="000000" w:themeColor="text1"/>
          <w:sz w:val="24"/>
          <w:szCs w:val="24"/>
        </w:rPr>
        <w:t>inquiry-based teaching methods did not have a significant effect on either low or high ability levels. Throughout this study it was determined however that low ability students did have a statistically significant learning gains from traditional teaching methods. These results were likely a result of students not having a foundation of strong math ability who needed explicit instruction that is not given through inquiry teaching.</w:t>
      </w:r>
    </w:p>
    <w:p w14:paraId="2C00BD63" w14:textId="754A538D" w:rsidR="00AD625A" w:rsidRDefault="0064571B" w:rsidP="004C6940">
      <w:pPr>
        <w:spacing w:line="480" w:lineRule="auto"/>
        <w:rPr>
          <w:color w:val="000000" w:themeColor="text1"/>
          <w:sz w:val="24"/>
          <w:szCs w:val="24"/>
        </w:rPr>
      </w:pPr>
      <w:r w:rsidRPr="00970187">
        <w:rPr>
          <w:color w:val="000000" w:themeColor="text1"/>
          <w:sz w:val="24"/>
          <w:szCs w:val="24"/>
        </w:rPr>
        <w:tab/>
        <w:t>Despite its limitations, the study presented important data for the field of education.</w:t>
      </w:r>
      <w:r w:rsidR="00970187" w:rsidRPr="00970187">
        <w:rPr>
          <w:color w:val="000000" w:themeColor="text1"/>
          <w:sz w:val="24"/>
          <w:szCs w:val="24"/>
        </w:rPr>
        <w:t xml:space="preserve"> By determining that lower ability students learn best from traditional methods, it will hopefully be useful data for the province to consider when </w:t>
      </w:r>
      <w:r w:rsidR="00970187" w:rsidRPr="00DA5906">
        <w:rPr>
          <w:color w:val="000000" w:themeColor="text1"/>
          <w:sz w:val="24"/>
          <w:szCs w:val="24"/>
        </w:rPr>
        <w:t xml:space="preserve">analyzing PISA data. The students who were performing below a level 2 are not going to learn best from inquiry-based teaching methods. </w:t>
      </w:r>
      <w:r w:rsidRPr="00DA5906">
        <w:rPr>
          <w:color w:val="000000" w:themeColor="text1"/>
          <w:sz w:val="24"/>
          <w:szCs w:val="24"/>
        </w:rPr>
        <w:t xml:space="preserve">The important piece is to give students the </w:t>
      </w:r>
      <w:r w:rsidR="001A3428" w:rsidRPr="00DA5906">
        <w:rPr>
          <w:color w:val="000000" w:themeColor="text1"/>
          <w:sz w:val="24"/>
          <w:szCs w:val="24"/>
        </w:rPr>
        <w:t>necessary knowledge to be successful at the next level. It is the teachers</w:t>
      </w:r>
      <w:r w:rsidR="000B789F">
        <w:rPr>
          <w:color w:val="000000" w:themeColor="text1"/>
          <w:sz w:val="24"/>
          <w:szCs w:val="24"/>
        </w:rPr>
        <w:t>’</w:t>
      </w:r>
      <w:r w:rsidR="001A3428" w:rsidRPr="00DA5906">
        <w:rPr>
          <w:color w:val="000000" w:themeColor="text1"/>
          <w:sz w:val="24"/>
          <w:szCs w:val="24"/>
        </w:rPr>
        <w:t xml:space="preserve"> respons</w:t>
      </w:r>
      <w:r w:rsidR="00DA5906" w:rsidRPr="00DA5906">
        <w:rPr>
          <w:color w:val="000000" w:themeColor="text1"/>
          <w:sz w:val="24"/>
          <w:szCs w:val="24"/>
        </w:rPr>
        <w:t xml:space="preserve">ibility to prepare the students using the best </w:t>
      </w:r>
      <w:r w:rsidR="00DA5906" w:rsidRPr="004E66DF">
        <w:rPr>
          <w:color w:val="000000" w:themeColor="text1"/>
          <w:sz w:val="24"/>
          <w:szCs w:val="24"/>
        </w:rPr>
        <w:t xml:space="preserve">pedagogical practices based on the </w:t>
      </w:r>
      <w:r w:rsidR="00DA5906" w:rsidRPr="000B789F">
        <w:rPr>
          <w:color w:val="000000" w:themeColor="text1"/>
          <w:sz w:val="24"/>
          <w:szCs w:val="24"/>
        </w:rPr>
        <w:t>grade level, subject, and level of the students in the class</w:t>
      </w:r>
      <w:r w:rsidRPr="000B789F">
        <w:rPr>
          <w:color w:val="000000" w:themeColor="text1"/>
          <w:sz w:val="24"/>
          <w:szCs w:val="24"/>
        </w:rPr>
        <w:t xml:space="preserve">.  Further research may </w:t>
      </w:r>
      <w:r w:rsidR="00DA5906" w:rsidRPr="000B789F">
        <w:rPr>
          <w:color w:val="000000" w:themeColor="text1"/>
          <w:sz w:val="24"/>
          <w:szCs w:val="24"/>
        </w:rPr>
        <w:t xml:space="preserve">support inquiry-based learning to be a better way to teach math once more </w:t>
      </w:r>
      <w:r w:rsidR="004E66DF" w:rsidRPr="000B789F">
        <w:rPr>
          <w:color w:val="000000" w:themeColor="text1"/>
          <w:sz w:val="24"/>
          <w:szCs w:val="24"/>
        </w:rPr>
        <w:t>professional develop</w:t>
      </w:r>
      <w:r w:rsidR="00153098">
        <w:rPr>
          <w:color w:val="000000" w:themeColor="text1"/>
          <w:sz w:val="24"/>
          <w:szCs w:val="24"/>
        </w:rPr>
        <w:t>ment opportunities</w:t>
      </w:r>
      <w:r w:rsidR="004E66DF" w:rsidRPr="000B789F">
        <w:rPr>
          <w:color w:val="000000" w:themeColor="text1"/>
          <w:sz w:val="24"/>
          <w:szCs w:val="24"/>
        </w:rPr>
        <w:t xml:space="preserve"> </w:t>
      </w:r>
      <w:r w:rsidR="006F372F" w:rsidRPr="000B789F">
        <w:rPr>
          <w:color w:val="000000" w:themeColor="text1"/>
          <w:sz w:val="24"/>
          <w:szCs w:val="24"/>
        </w:rPr>
        <w:t xml:space="preserve">and </w:t>
      </w:r>
      <w:r w:rsidR="00153098">
        <w:rPr>
          <w:color w:val="000000" w:themeColor="text1"/>
          <w:sz w:val="24"/>
          <w:szCs w:val="24"/>
        </w:rPr>
        <w:t>increased collaboration time</w:t>
      </w:r>
      <w:r w:rsidR="004E66DF" w:rsidRPr="000B789F">
        <w:rPr>
          <w:color w:val="000000" w:themeColor="text1"/>
          <w:sz w:val="24"/>
          <w:szCs w:val="24"/>
        </w:rPr>
        <w:t xml:space="preserve"> are available in schools. </w:t>
      </w:r>
      <w:r w:rsidRPr="000B789F">
        <w:rPr>
          <w:color w:val="000000" w:themeColor="text1"/>
          <w:sz w:val="24"/>
          <w:szCs w:val="24"/>
        </w:rPr>
        <w:t xml:space="preserve">Overall, these data suggest that </w:t>
      </w:r>
      <w:r w:rsidR="004E66DF" w:rsidRPr="000B789F">
        <w:rPr>
          <w:color w:val="000000" w:themeColor="text1"/>
          <w:sz w:val="24"/>
          <w:szCs w:val="24"/>
        </w:rPr>
        <w:t>teaching</w:t>
      </w:r>
      <w:r w:rsidR="000B789F" w:rsidRPr="000B789F">
        <w:rPr>
          <w:color w:val="000000" w:themeColor="text1"/>
          <w:sz w:val="24"/>
          <w:szCs w:val="24"/>
        </w:rPr>
        <w:t xml:space="preserve"> mathematics via inquiry is did</w:t>
      </w:r>
      <w:r w:rsidR="004E66DF" w:rsidRPr="000B789F">
        <w:rPr>
          <w:color w:val="000000" w:themeColor="text1"/>
          <w:sz w:val="24"/>
          <w:szCs w:val="24"/>
        </w:rPr>
        <w:t xml:space="preserve"> not produce statistically significant result</w:t>
      </w:r>
      <w:r w:rsidR="00E519B3">
        <w:rPr>
          <w:color w:val="000000" w:themeColor="text1"/>
          <w:sz w:val="24"/>
          <w:szCs w:val="24"/>
        </w:rPr>
        <w:t>s</w:t>
      </w:r>
      <w:r w:rsidR="004E66DF" w:rsidRPr="000B789F">
        <w:rPr>
          <w:color w:val="000000" w:themeColor="text1"/>
          <w:sz w:val="24"/>
          <w:szCs w:val="24"/>
        </w:rPr>
        <w:t xml:space="preserve"> </w:t>
      </w:r>
      <w:r w:rsidR="000B789F" w:rsidRPr="000B789F">
        <w:rPr>
          <w:color w:val="000000" w:themeColor="text1"/>
          <w:sz w:val="24"/>
          <w:szCs w:val="24"/>
        </w:rPr>
        <w:t>at the Math 10C level</w:t>
      </w:r>
      <w:r w:rsidR="00AD625A">
        <w:rPr>
          <w:color w:val="000000" w:themeColor="text1"/>
          <w:sz w:val="24"/>
          <w:szCs w:val="24"/>
        </w:rPr>
        <w:t>.</w:t>
      </w:r>
    </w:p>
    <w:p w14:paraId="27BFF44D" w14:textId="77777777" w:rsidR="00AD625A" w:rsidRPr="00801FF3" w:rsidRDefault="00AD625A" w:rsidP="00AD625A">
      <w:pPr>
        <w:spacing w:line="480" w:lineRule="auto"/>
        <w:jc w:val="center"/>
        <w:rPr>
          <w:sz w:val="24"/>
          <w:szCs w:val="24"/>
        </w:rPr>
      </w:pPr>
      <w:r>
        <w:rPr>
          <w:color w:val="000000" w:themeColor="text1"/>
          <w:sz w:val="24"/>
          <w:szCs w:val="24"/>
        </w:rPr>
        <w:br w:type="page"/>
      </w:r>
      <w:r w:rsidRPr="00801FF3">
        <w:rPr>
          <w:sz w:val="24"/>
          <w:szCs w:val="24"/>
        </w:rPr>
        <w:t>References</w:t>
      </w:r>
    </w:p>
    <w:p w14:paraId="0A0BF0BD" w14:textId="77777777" w:rsidR="00AD625A" w:rsidRDefault="00AD625A" w:rsidP="00AD625A">
      <w:pPr>
        <w:spacing w:line="480" w:lineRule="auto"/>
        <w:ind w:left="720" w:hanging="720"/>
        <w:rPr>
          <w:sz w:val="24"/>
          <w:szCs w:val="24"/>
        </w:rPr>
      </w:pPr>
      <w:r>
        <w:rPr>
          <w:sz w:val="24"/>
          <w:szCs w:val="24"/>
        </w:rPr>
        <w:t xml:space="preserve">Albanese, M. A., &amp; Mitchell, S. (1993). Problem-based learning: A review of literature on its outcomes and implementation issues. </w:t>
      </w:r>
      <w:r w:rsidRPr="00ED1928">
        <w:rPr>
          <w:i/>
          <w:sz w:val="24"/>
          <w:szCs w:val="24"/>
        </w:rPr>
        <w:t>Academic Medicine, 68,</w:t>
      </w:r>
      <w:r>
        <w:rPr>
          <w:sz w:val="24"/>
          <w:szCs w:val="24"/>
        </w:rPr>
        <w:t xml:space="preserve"> 52-81.</w:t>
      </w:r>
    </w:p>
    <w:p w14:paraId="071F3012" w14:textId="77777777" w:rsidR="00AD625A" w:rsidRDefault="00AD625A" w:rsidP="00AD625A">
      <w:pPr>
        <w:spacing w:line="480" w:lineRule="auto"/>
        <w:ind w:left="720" w:hanging="720"/>
        <w:rPr>
          <w:sz w:val="24"/>
          <w:szCs w:val="24"/>
        </w:rPr>
      </w:pPr>
      <w:r>
        <w:rPr>
          <w:sz w:val="24"/>
          <w:szCs w:val="24"/>
        </w:rPr>
        <w:t xml:space="preserve">Anderson, R. D. (2002). Reforming science teaching: What research says about inquiry. </w:t>
      </w:r>
      <w:r w:rsidRPr="00641629">
        <w:rPr>
          <w:i/>
          <w:sz w:val="24"/>
          <w:szCs w:val="24"/>
        </w:rPr>
        <w:t>Journal of Science and Teacher Education</w:t>
      </w:r>
      <w:r>
        <w:rPr>
          <w:sz w:val="24"/>
          <w:szCs w:val="24"/>
        </w:rPr>
        <w:t>, 13(1), 1-12.</w:t>
      </w:r>
    </w:p>
    <w:p w14:paraId="5283D8DC" w14:textId="77777777" w:rsidR="00AD625A" w:rsidRPr="00CE7A88" w:rsidRDefault="00AD625A" w:rsidP="00AD625A">
      <w:pPr>
        <w:spacing w:line="360" w:lineRule="auto"/>
        <w:rPr>
          <w:sz w:val="24"/>
          <w:szCs w:val="24"/>
        </w:rPr>
      </w:pPr>
      <w:r w:rsidRPr="00CE7A88">
        <w:rPr>
          <w:sz w:val="24"/>
          <w:szCs w:val="24"/>
        </w:rPr>
        <w:t xml:space="preserve">Brookhart, S. M., &amp; Moss, C. M. (2013) Leading by learning. </w:t>
      </w:r>
      <w:r w:rsidRPr="00CE7A88">
        <w:rPr>
          <w:i/>
          <w:sz w:val="24"/>
          <w:szCs w:val="24"/>
        </w:rPr>
        <w:t>Kappan Magazine</w:t>
      </w:r>
      <w:r w:rsidRPr="00CE7A88">
        <w:rPr>
          <w:sz w:val="24"/>
          <w:szCs w:val="24"/>
        </w:rPr>
        <w:t>, 94(8) 13-17.</w:t>
      </w:r>
    </w:p>
    <w:p w14:paraId="27236436" w14:textId="77777777" w:rsidR="00AD625A" w:rsidRDefault="00AD625A" w:rsidP="00AD625A">
      <w:pPr>
        <w:spacing w:line="480" w:lineRule="auto"/>
        <w:ind w:left="720" w:hanging="720"/>
        <w:rPr>
          <w:sz w:val="24"/>
          <w:szCs w:val="24"/>
        </w:rPr>
      </w:pPr>
      <w:r>
        <w:rPr>
          <w:sz w:val="24"/>
          <w:szCs w:val="24"/>
        </w:rPr>
        <w:t xml:space="preserve">Bruner, J. S. (1961). The act of discovery. </w:t>
      </w:r>
      <w:r w:rsidRPr="00ED2D02">
        <w:rPr>
          <w:i/>
          <w:sz w:val="24"/>
          <w:szCs w:val="24"/>
        </w:rPr>
        <w:t>Harvard Educational Review, 31</w:t>
      </w:r>
      <w:r>
        <w:rPr>
          <w:sz w:val="24"/>
          <w:szCs w:val="24"/>
        </w:rPr>
        <w:t>, 21-32.</w:t>
      </w:r>
    </w:p>
    <w:p w14:paraId="13C841DD" w14:textId="77777777" w:rsidR="00AD625A" w:rsidRDefault="00AD625A" w:rsidP="00AD625A">
      <w:pPr>
        <w:spacing w:line="480" w:lineRule="auto"/>
        <w:ind w:left="720" w:hanging="720"/>
        <w:rPr>
          <w:sz w:val="24"/>
          <w:szCs w:val="24"/>
        </w:rPr>
      </w:pPr>
      <w:r>
        <w:rPr>
          <w:sz w:val="24"/>
          <w:szCs w:val="24"/>
        </w:rPr>
        <w:t xml:space="preserve">Clements, D. H., &amp; Merriman, S. (1988). Componential developments in LOGO programming environments. In R. E. Mayers (Ed.), </w:t>
      </w:r>
      <w:r w:rsidRPr="00F123EC">
        <w:rPr>
          <w:i/>
          <w:sz w:val="24"/>
          <w:szCs w:val="24"/>
        </w:rPr>
        <w:t>Teaching and learning computer programming</w:t>
      </w:r>
      <w:r>
        <w:rPr>
          <w:sz w:val="24"/>
          <w:szCs w:val="24"/>
        </w:rPr>
        <w:t xml:space="preserve"> (pp. 13-54). Hillsdale, NJ: Erlbaum.</w:t>
      </w:r>
    </w:p>
    <w:p w14:paraId="04937163" w14:textId="77777777" w:rsidR="00AD625A" w:rsidRDefault="00AD625A" w:rsidP="00AD625A">
      <w:pPr>
        <w:spacing w:line="480" w:lineRule="auto"/>
        <w:ind w:left="720" w:hanging="720"/>
        <w:rPr>
          <w:sz w:val="24"/>
          <w:szCs w:val="24"/>
        </w:rPr>
      </w:pPr>
      <w:r>
        <w:rPr>
          <w:sz w:val="24"/>
          <w:szCs w:val="24"/>
        </w:rPr>
        <w:t xml:space="preserve">Cobb, P. (1988) The tension between theories of learning and instruction in mathematics education. </w:t>
      </w:r>
      <w:r w:rsidRPr="00EB4845">
        <w:rPr>
          <w:i/>
          <w:sz w:val="24"/>
          <w:szCs w:val="24"/>
        </w:rPr>
        <w:t>Educational Psychologist, 23</w:t>
      </w:r>
      <w:r>
        <w:rPr>
          <w:sz w:val="24"/>
          <w:szCs w:val="24"/>
        </w:rPr>
        <w:t>(2), 87-103.</w:t>
      </w:r>
    </w:p>
    <w:p w14:paraId="27719BFD" w14:textId="77777777" w:rsidR="00AD625A" w:rsidRDefault="00AD625A" w:rsidP="00AD625A">
      <w:pPr>
        <w:spacing w:line="480" w:lineRule="auto"/>
        <w:ind w:left="720" w:hanging="720"/>
        <w:rPr>
          <w:sz w:val="24"/>
          <w:szCs w:val="24"/>
        </w:rPr>
      </w:pPr>
      <w:r>
        <w:rPr>
          <w:sz w:val="24"/>
          <w:szCs w:val="24"/>
        </w:rPr>
        <w:t xml:space="preserve">Colburn, A. (2000). An inquiry primer. </w:t>
      </w:r>
      <w:r w:rsidRPr="003C1F99">
        <w:rPr>
          <w:i/>
          <w:sz w:val="24"/>
          <w:szCs w:val="24"/>
        </w:rPr>
        <w:t>Science Scope, 23</w:t>
      </w:r>
      <w:r>
        <w:rPr>
          <w:sz w:val="24"/>
          <w:szCs w:val="24"/>
        </w:rPr>
        <w:t>(6), 42-44.</w:t>
      </w:r>
    </w:p>
    <w:p w14:paraId="4C79F527" w14:textId="77777777" w:rsidR="00AD625A" w:rsidRDefault="00AD625A" w:rsidP="00AD625A">
      <w:pPr>
        <w:spacing w:line="480" w:lineRule="auto"/>
        <w:ind w:left="720" w:hanging="720"/>
        <w:rPr>
          <w:sz w:val="24"/>
          <w:szCs w:val="24"/>
        </w:rPr>
      </w:pPr>
      <w:r>
        <w:rPr>
          <w:sz w:val="24"/>
          <w:szCs w:val="24"/>
        </w:rPr>
        <w:t xml:space="preserve">Felder, R. M., &amp; Brent, R. (2004). The intellectual development of science and engineering students. </w:t>
      </w:r>
      <w:r w:rsidRPr="00322F1C">
        <w:rPr>
          <w:i/>
          <w:sz w:val="24"/>
          <w:szCs w:val="24"/>
        </w:rPr>
        <w:t>Journal of Engineering Education, 93</w:t>
      </w:r>
      <w:r>
        <w:rPr>
          <w:sz w:val="24"/>
          <w:szCs w:val="24"/>
        </w:rPr>
        <w:t>(4), 279-291.</w:t>
      </w:r>
    </w:p>
    <w:p w14:paraId="7DBEB481" w14:textId="77777777" w:rsidR="00AD625A" w:rsidRDefault="00AD625A" w:rsidP="00AD625A">
      <w:pPr>
        <w:spacing w:line="480" w:lineRule="auto"/>
        <w:ind w:left="720" w:hanging="720"/>
        <w:rPr>
          <w:sz w:val="24"/>
          <w:szCs w:val="24"/>
        </w:rPr>
      </w:pPr>
      <w:r>
        <w:rPr>
          <w:sz w:val="24"/>
          <w:szCs w:val="24"/>
        </w:rPr>
        <w:t>Flick, L. B. (1995) Complex instruction in complex classrooms: A synthesis of research on inquiry teaching methods and explicit teaching strategies. National Association for Research in Science Teaching. Oregon State University, 1-25.</w:t>
      </w:r>
    </w:p>
    <w:p w14:paraId="181FA2D1" w14:textId="77777777" w:rsidR="00AD625A" w:rsidRDefault="00AD625A" w:rsidP="00AD625A">
      <w:pPr>
        <w:spacing w:line="480" w:lineRule="auto"/>
        <w:ind w:left="720" w:hanging="720"/>
        <w:rPr>
          <w:sz w:val="24"/>
          <w:szCs w:val="24"/>
        </w:rPr>
      </w:pPr>
      <w:r>
        <w:rPr>
          <w:sz w:val="24"/>
          <w:szCs w:val="24"/>
        </w:rPr>
        <w:t xml:space="preserve">Grady, M., Watkins, S., &amp; Montalvo, G. (2012). The effect of constructivist mathematics on achievement in rural schools. </w:t>
      </w:r>
      <w:r w:rsidRPr="00374C38">
        <w:rPr>
          <w:i/>
          <w:sz w:val="24"/>
          <w:szCs w:val="24"/>
        </w:rPr>
        <w:t>Rural Educator, 33</w:t>
      </w:r>
      <w:r>
        <w:rPr>
          <w:sz w:val="24"/>
          <w:szCs w:val="24"/>
        </w:rPr>
        <w:t>(3), 37-46.</w:t>
      </w:r>
    </w:p>
    <w:p w14:paraId="10B5D969" w14:textId="77777777" w:rsidR="00AD625A" w:rsidRDefault="00AD625A" w:rsidP="00AD625A">
      <w:pPr>
        <w:spacing w:line="480" w:lineRule="auto"/>
        <w:ind w:left="720" w:hanging="720"/>
        <w:rPr>
          <w:sz w:val="24"/>
          <w:szCs w:val="24"/>
        </w:rPr>
      </w:pPr>
      <w:r>
        <w:rPr>
          <w:sz w:val="24"/>
          <w:szCs w:val="24"/>
        </w:rPr>
        <w:t xml:space="preserve">Hmelo-Silver, C. E., Duncan, R. G., &amp; Chinn, C. A. (2007). Scaffolding and achievement in problem-based and inquiry learning: A response to Kirschner, Sweller, and Clark (2006). </w:t>
      </w:r>
      <w:r w:rsidRPr="00A4262B">
        <w:rPr>
          <w:i/>
          <w:sz w:val="24"/>
          <w:szCs w:val="24"/>
        </w:rPr>
        <w:t>Educational Psychologist, 42</w:t>
      </w:r>
      <w:r>
        <w:rPr>
          <w:sz w:val="24"/>
          <w:szCs w:val="24"/>
        </w:rPr>
        <w:t>(2), 99-107.</w:t>
      </w:r>
    </w:p>
    <w:p w14:paraId="2B624E70" w14:textId="77777777" w:rsidR="00AD625A" w:rsidRDefault="00AD625A" w:rsidP="00AD625A">
      <w:pPr>
        <w:spacing w:line="480" w:lineRule="auto"/>
        <w:ind w:left="720" w:hanging="720"/>
        <w:rPr>
          <w:sz w:val="24"/>
          <w:szCs w:val="24"/>
        </w:rPr>
      </w:pPr>
      <w:r>
        <w:rPr>
          <w:sz w:val="24"/>
          <w:szCs w:val="24"/>
        </w:rPr>
        <w:t xml:space="preserve">Kohn, A. (2000). </w:t>
      </w:r>
      <w:r w:rsidRPr="00E93A35">
        <w:rPr>
          <w:i/>
          <w:sz w:val="24"/>
          <w:szCs w:val="24"/>
        </w:rPr>
        <w:t>The case</w:t>
      </w:r>
      <w:r>
        <w:rPr>
          <w:i/>
          <w:sz w:val="24"/>
          <w:szCs w:val="24"/>
        </w:rPr>
        <w:t xml:space="preserve"> against standardized testing: R</w:t>
      </w:r>
      <w:r w:rsidRPr="00E93A35">
        <w:rPr>
          <w:i/>
          <w:sz w:val="24"/>
          <w:szCs w:val="24"/>
        </w:rPr>
        <w:t>aising the scores, ruining the schools</w:t>
      </w:r>
      <w:r>
        <w:rPr>
          <w:sz w:val="24"/>
          <w:szCs w:val="24"/>
        </w:rPr>
        <w:t>. Portsmouth, NH: Heinemann.</w:t>
      </w:r>
    </w:p>
    <w:p w14:paraId="7567E87D" w14:textId="77777777" w:rsidR="00AD625A" w:rsidRDefault="00AD625A" w:rsidP="00AD625A">
      <w:pPr>
        <w:spacing w:line="480" w:lineRule="auto"/>
        <w:ind w:left="720" w:hanging="720"/>
        <w:rPr>
          <w:sz w:val="24"/>
          <w:szCs w:val="24"/>
        </w:rPr>
      </w:pPr>
      <w:r>
        <w:rPr>
          <w:sz w:val="24"/>
          <w:szCs w:val="24"/>
        </w:rPr>
        <w:t xml:space="preserve">Kong, S. C., &amp; Song Y. (2014). The impact of a principle-based pedagogical design on inquiry-based learning in a seamless environment in Hong Kong. </w:t>
      </w:r>
      <w:r w:rsidRPr="00D22AEE">
        <w:rPr>
          <w:i/>
          <w:sz w:val="24"/>
          <w:szCs w:val="24"/>
        </w:rPr>
        <w:t>Educational Technology &amp; Society, 17</w:t>
      </w:r>
      <w:r>
        <w:rPr>
          <w:sz w:val="24"/>
          <w:szCs w:val="24"/>
        </w:rPr>
        <w:t>(2), 127-141.</w:t>
      </w:r>
    </w:p>
    <w:p w14:paraId="2E4F0064" w14:textId="77777777" w:rsidR="00AD625A" w:rsidRPr="00801FF3" w:rsidRDefault="00AD625A" w:rsidP="00AD625A">
      <w:pPr>
        <w:spacing w:line="480" w:lineRule="auto"/>
        <w:ind w:left="720" w:hanging="720"/>
        <w:rPr>
          <w:sz w:val="24"/>
          <w:szCs w:val="24"/>
        </w:rPr>
      </w:pPr>
      <w:r w:rsidRPr="00801FF3">
        <w:rPr>
          <w:sz w:val="24"/>
          <w:szCs w:val="24"/>
        </w:rPr>
        <w:t xml:space="preserve">Kuhn, D., Black, J., Keselman, A., &amp; Kaplan, D. (2000). The development of cognitive skills to support inquiry learning. </w:t>
      </w:r>
      <w:r w:rsidRPr="00801FF3">
        <w:rPr>
          <w:i/>
          <w:sz w:val="24"/>
          <w:szCs w:val="24"/>
        </w:rPr>
        <w:t>Cognition and Instruction, 18</w:t>
      </w:r>
      <w:r w:rsidRPr="00801FF3">
        <w:rPr>
          <w:sz w:val="24"/>
          <w:szCs w:val="24"/>
        </w:rPr>
        <w:t>, 495-523.</w:t>
      </w:r>
    </w:p>
    <w:p w14:paraId="27CED545" w14:textId="77777777" w:rsidR="00AD625A" w:rsidRDefault="00AD625A" w:rsidP="00AD625A">
      <w:pPr>
        <w:spacing w:line="480" w:lineRule="auto"/>
        <w:ind w:left="720" w:hanging="720"/>
        <w:rPr>
          <w:sz w:val="24"/>
          <w:szCs w:val="24"/>
        </w:rPr>
      </w:pPr>
      <w:r w:rsidRPr="003B178A">
        <w:rPr>
          <w:sz w:val="24"/>
          <w:szCs w:val="24"/>
        </w:rPr>
        <w:t>K</w:t>
      </w:r>
      <w:r w:rsidRPr="003B178A">
        <w:rPr>
          <w:rFonts w:ascii="Lucida Grande" w:hAnsi="Lucida Grande" w:cs="Lucida Grande"/>
          <w:color w:val="000000"/>
        </w:rPr>
        <w:t>ü</w:t>
      </w:r>
      <w:r w:rsidRPr="003B178A">
        <w:rPr>
          <w:sz w:val="24"/>
          <w:szCs w:val="24"/>
        </w:rPr>
        <w:t xml:space="preserve">hne, </w:t>
      </w:r>
      <w:r>
        <w:rPr>
          <w:sz w:val="24"/>
          <w:szCs w:val="24"/>
        </w:rPr>
        <w:t>B. (</w:t>
      </w:r>
      <w:r w:rsidRPr="003B178A">
        <w:rPr>
          <w:sz w:val="24"/>
          <w:szCs w:val="24"/>
        </w:rPr>
        <w:t>1995).</w:t>
      </w:r>
      <w:r>
        <w:rPr>
          <w:sz w:val="24"/>
          <w:szCs w:val="24"/>
        </w:rPr>
        <w:t xml:space="preserve"> The Barkestorp project: Investigating schools library use. </w:t>
      </w:r>
      <w:r w:rsidRPr="003B178A">
        <w:rPr>
          <w:i/>
          <w:sz w:val="24"/>
          <w:szCs w:val="24"/>
        </w:rPr>
        <w:t>School Libraries Worldwide, 1</w:t>
      </w:r>
      <w:r>
        <w:rPr>
          <w:sz w:val="24"/>
          <w:szCs w:val="24"/>
        </w:rPr>
        <w:t xml:space="preserve">(1), </w:t>
      </w:r>
      <w:proofErr w:type="gramStart"/>
      <w:r>
        <w:rPr>
          <w:sz w:val="24"/>
          <w:szCs w:val="24"/>
        </w:rPr>
        <w:t>13</w:t>
      </w:r>
      <w:proofErr w:type="gramEnd"/>
      <w:r>
        <w:rPr>
          <w:sz w:val="24"/>
          <w:szCs w:val="24"/>
        </w:rPr>
        <w:t>-27.</w:t>
      </w:r>
    </w:p>
    <w:p w14:paraId="44D882D8" w14:textId="77777777" w:rsidR="00AD625A" w:rsidRDefault="00AD625A" w:rsidP="00AD625A">
      <w:pPr>
        <w:spacing w:line="480" w:lineRule="auto"/>
        <w:ind w:left="720" w:hanging="720"/>
        <w:rPr>
          <w:sz w:val="24"/>
          <w:szCs w:val="24"/>
        </w:rPr>
      </w:pPr>
      <w:r>
        <w:rPr>
          <w:sz w:val="24"/>
          <w:szCs w:val="24"/>
        </w:rPr>
        <w:t xml:space="preserve">Lee, V. S. (2004). </w:t>
      </w:r>
      <w:r w:rsidRPr="00320515">
        <w:rPr>
          <w:i/>
          <w:sz w:val="24"/>
          <w:szCs w:val="24"/>
        </w:rPr>
        <w:t>Teaching and learning through inquiry</w:t>
      </w:r>
      <w:r>
        <w:rPr>
          <w:sz w:val="24"/>
          <w:szCs w:val="24"/>
        </w:rPr>
        <w:t>. Sterling, VA: Stylus Publishing.</w:t>
      </w:r>
    </w:p>
    <w:p w14:paraId="41207CF3" w14:textId="77777777" w:rsidR="00AD625A" w:rsidRDefault="00AD625A" w:rsidP="00AD625A">
      <w:pPr>
        <w:spacing w:line="480" w:lineRule="auto"/>
        <w:ind w:left="720" w:hanging="720"/>
        <w:rPr>
          <w:sz w:val="24"/>
          <w:szCs w:val="24"/>
        </w:rPr>
      </w:pPr>
      <w:r>
        <w:rPr>
          <w:sz w:val="24"/>
          <w:szCs w:val="24"/>
        </w:rPr>
        <w:t xml:space="preserve">Leithwood, K., Louis, K. S., Anderson, S., &amp; Wahlstrom (2004). Review of research: How leadership influences student learning. </w:t>
      </w:r>
      <w:r w:rsidRPr="005421AC">
        <w:rPr>
          <w:i/>
          <w:sz w:val="24"/>
          <w:szCs w:val="24"/>
        </w:rPr>
        <w:t>Center for Applie</w:t>
      </w:r>
      <w:r>
        <w:rPr>
          <w:i/>
          <w:sz w:val="24"/>
          <w:szCs w:val="24"/>
        </w:rPr>
        <w:t>d</w:t>
      </w:r>
      <w:r w:rsidRPr="005421AC">
        <w:rPr>
          <w:i/>
          <w:sz w:val="24"/>
          <w:szCs w:val="24"/>
        </w:rPr>
        <w:t xml:space="preserve"> Research and Educational Improvement</w:t>
      </w:r>
      <w:r>
        <w:rPr>
          <w:sz w:val="24"/>
          <w:szCs w:val="24"/>
        </w:rPr>
        <w:t>.</w:t>
      </w:r>
    </w:p>
    <w:p w14:paraId="16664002" w14:textId="77777777" w:rsidR="00AD625A" w:rsidRDefault="00AD625A" w:rsidP="00AD625A">
      <w:pPr>
        <w:spacing w:line="480" w:lineRule="auto"/>
        <w:ind w:left="720" w:hanging="720"/>
        <w:rPr>
          <w:sz w:val="24"/>
          <w:szCs w:val="24"/>
        </w:rPr>
      </w:pPr>
      <w:r>
        <w:rPr>
          <w:sz w:val="24"/>
          <w:szCs w:val="24"/>
        </w:rPr>
        <w:t xml:space="preserve">Lin, X., &amp; Lehman J. D. (1999). Supporting learning of variable control in a computer-based biology environment: Effects of prompting college student to reflect on their own learning and thinking. </w:t>
      </w:r>
      <w:r w:rsidRPr="00D471DB">
        <w:rPr>
          <w:i/>
          <w:sz w:val="24"/>
          <w:szCs w:val="24"/>
        </w:rPr>
        <w:t>Journal of Research in Science Teaching, 36</w:t>
      </w:r>
      <w:r>
        <w:rPr>
          <w:sz w:val="24"/>
          <w:szCs w:val="24"/>
        </w:rPr>
        <w:t>(7), 837-858.</w:t>
      </w:r>
    </w:p>
    <w:p w14:paraId="6BB25C5F" w14:textId="77777777" w:rsidR="00AD625A" w:rsidRDefault="00AD625A" w:rsidP="00AD625A">
      <w:pPr>
        <w:spacing w:line="480" w:lineRule="auto"/>
        <w:ind w:left="720" w:hanging="720"/>
        <w:rPr>
          <w:sz w:val="24"/>
          <w:szCs w:val="24"/>
        </w:rPr>
      </w:pPr>
      <w:r w:rsidRPr="00CA052E">
        <w:rPr>
          <w:sz w:val="24"/>
          <w:szCs w:val="24"/>
        </w:rPr>
        <w:t>Lochmiller,</w:t>
      </w:r>
      <w:r>
        <w:rPr>
          <w:sz w:val="24"/>
          <w:szCs w:val="24"/>
        </w:rPr>
        <w:t xml:space="preserve"> C. R.,</w:t>
      </w:r>
      <w:r w:rsidRPr="00CA052E">
        <w:rPr>
          <w:sz w:val="24"/>
          <w:szCs w:val="24"/>
        </w:rPr>
        <w:t xml:space="preserve"> Kristin S. Huggins, </w:t>
      </w:r>
      <w:r>
        <w:rPr>
          <w:sz w:val="24"/>
          <w:szCs w:val="24"/>
        </w:rPr>
        <w:t>K. S., &amp; Acker-Hocevar, M. A. (2012). Preparing leaders for math and science: Three alternatives for traditional preparation.</w:t>
      </w:r>
      <w:r w:rsidRPr="00580B3C">
        <w:rPr>
          <w:i/>
          <w:sz w:val="24"/>
          <w:szCs w:val="24"/>
        </w:rPr>
        <w:t xml:space="preserve"> Planning and Changing</w:t>
      </w:r>
      <w:r>
        <w:rPr>
          <w:sz w:val="24"/>
          <w:szCs w:val="24"/>
        </w:rPr>
        <w:t>, 43(1/2) 198-220.</w:t>
      </w:r>
    </w:p>
    <w:p w14:paraId="348EABF0" w14:textId="77777777" w:rsidR="00AD625A" w:rsidRDefault="00AD625A" w:rsidP="00AD625A">
      <w:pPr>
        <w:spacing w:line="480" w:lineRule="auto"/>
        <w:ind w:left="720" w:hanging="720"/>
        <w:rPr>
          <w:sz w:val="24"/>
          <w:szCs w:val="24"/>
        </w:rPr>
      </w:pPr>
      <w:r>
        <w:rPr>
          <w:sz w:val="24"/>
          <w:szCs w:val="24"/>
        </w:rPr>
        <w:t xml:space="preserve">Mayer, R. E. (2003). </w:t>
      </w:r>
      <w:r w:rsidRPr="007E2264">
        <w:rPr>
          <w:i/>
          <w:sz w:val="24"/>
          <w:szCs w:val="24"/>
        </w:rPr>
        <w:t>Learning and instruction.</w:t>
      </w:r>
      <w:r>
        <w:rPr>
          <w:sz w:val="24"/>
          <w:szCs w:val="24"/>
        </w:rPr>
        <w:t xml:space="preserve"> Upper Saddle River: Prentice Hall.</w:t>
      </w:r>
    </w:p>
    <w:p w14:paraId="6066E0BD" w14:textId="77777777" w:rsidR="00AD625A" w:rsidRDefault="00AD625A" w:rsidP="00AD625A">
      <w:pPr>
        <w:spacing w:line="480" w:lineRule="auto"/>
        <w:ind w:left="720" w:hanging="720"/>
        <w:rPr>
          <w:sz w:val="24"/>
          <w:szCs w:val="24"/>
        </w:rPr>
      </w:pPr>
      <w:r>
        <w:rPr>
          <w:sz w:val="24"/>
          <w:szCs w:val="24"/>
        </w:rPr>
        <w:t xml:space="preserve">Mayer, R. E. (2004). Should there be a three-strike rule against pure discovery learning?: The case of guided methods of instruction. </w:t>
      </w:r>
      <w:r w:rsidRPr="00117E75">
        <w:rPr>
          <w:i/>
          <w:sz w:val="24"/>
          <w:szCs w:val="24"/>
        </w:rPr>
        <w:t>American Psychologist, 59</w:t>
      </w:r>
      <w:r>
        <w:rPr>
          <w:sz w:val="24"/>
          <w:szCs w:val="24"/>
        </w:rPr>
        <w:t>(1), 14-19.</w:t>
      </w:r>
    </w:p>
    <w:p w14:paraId="65C8A898" w14:textId="77777777" w:rsidR="00AD625A" w:rsidRDefault="00AD625A" w:rsidP="00AD625A">
      <w:pPr>
        <w:spacing w:line="480" w:lineRule="auto"/>
        <w:ind w:left="720" w:hanging="720"/>
        <w:rPr>
          <w:sz w:val="24"/>
          <w:szCs w:val="24"/>
        </w:rPr>
      </w:pPr>
      <w:r w:rsidRPr="00E04C7D">
        <w:rPr>
          <w:sz w:val="24"/>
          <w:szCs w:val="24"/>
        </w:rPr>
        <w:t xml:space="preserve">Prince, M. J., &amp; Felder, R. M. (2006). Inductive teaching and learning methods: Definitions, comparisons, and research bases. </w:t>
      </w:r>
      <w:r>
        <w:rPr>
          <w:i/>
          <w:sz w:val="24"/>
          <w:szCs w:val="24"/>
        </w:rPr>
        <w:t>Journal of Engineering E</w:t>
      </w:r>
      <w:r w:rsidRPr="00E04C7D">
        <w:rPr>
          <w:i/>
          <w:sz w:val="24"/>
          <w:szCs w:val="24"/>
        </w:rPr>
        <w:t>ducation, 95</w:t>
      </w:r>
      <w:r w:rsidRPr="00E04C7D">
        <w:rPr>
          <w:sz w:val="24"/>
          <w:szCs w:val="24"/>
        </w:rPr>
        <w:t>(2), 123-138.</w:t>
      </w:r>
    </w:p>
    <w:p w14:paraId="5DF8CBAC" w14:textId="77777777" w:rsidR="00AD625A" w:rsidRDefault="00AD625A" w:rsidP="00AD625A">
      <w:pPr>
        <w:spacing w:line="480" w:lineRule="auto"/>
        <w:ind w:left="720" w:hanging="720"/>
        <w:rPr>
          <w:sz w:val="24"/>
          <w:szCs w:val="24"/>
        </w:rPr>
      </w:pPr>
      <w:r>
        <w:rPr>
          <w:sz w:val="24"/>
          <w:szCs w:val="24"/>
        </w:rPr>
        <w:t xml:space="preserve">Reed, S. K. (2006). Cognitive architectures for multimedia learning. </w:t>
      </w:r>
      <w:r>
        <w:rPr>
          <w:i/>
          <w:sz w:val="24"/>
          <w:szCs w:val="24"/>
        </w:rPr>
        <w:t>Educational Psychologist, 41(2), 87-98.</w:t>
      </w:r>
    </w:p>
    <w:p w14:paraId="2CAA7A60" w14:textId="77777777" w:rsidR="00AD625A" w:rsidRDefault="00AD625A" w:rsidP="00AD625A">
      <w:pPr>
        <w:spacing w:line="480" w:lineRule="auto"/>
        <w:ind w:left="720" w:hanging="720"/>
        <w:rPr>
          <w:sz w:val="24"/>
          <w:szCs w:val="24"/>
        </w:rPr>
      </w:pPr>
      <w:r>
        <w:rPr>
          <w:sz w:val="24"/>
          <w:szCs w:val="24"/>
        </w:rPr>
        <w:t xml:space="preserve">Rorty, R. (1982). </w:t>
      </w:r>
      <w:r w:rsidRPr="009A4050">
        <w:rPr>
          <w:i/>
          <w:sz w:val="24"/>
          <w:szCs w:val="24"/>
        </w:rPr>
        <w:t>Consequences of pragmatism</w:t>
      </w:r>
      <w:r>
        <w:rPr>
          <w:sz w:val="24"/>
          <w:szCs w:val="24"/>
        </w:rPr>
        <w:t>. Minneapolis, MN: University of Minnesota Press.</w:t>
      </w:r>
    </w:p>
    <w:p w14:paraId="23257624" w14:textId="77777777" w:rsidR="00AD625A" w:rsidRDefault="00AD625A" w:rsidP="00AD625A">
      <w:pPr>
        <w:spacing w:line="480" w:lineRule="auto"/>
        <w:ind w:left="720" w:hanging="720"/>
        <w:rPr>
          <w:sz w:val="24"/>
          <w:szCs w:val="24"/>
        </w:rPr>
      </w:pPr>
      <w:r>
        <w:rPr>
          <w:sz w:val="24"/>
          <w:szCs w:val="24"/>
        </w:rPr>
        <w:t>Silver, E. A., Mesa, V. M., Morris, K. A., Star, J. R., &amp; Benken, B. M. (2009</w:t>
      </w:r>
      <w:r w:rsidRPr="00E04C7D">
        <w:rPr>
          <w:sz w:val="24"/>
          <w:szCs w:val="24"/>
        </w:rPr>
        <w:t xml:space="preserve">). </w:t>
      </w:r>
      <w:r>
        <w:rPr>
          <w:sz w:val="24"/>
          <w:szCs w:val="24"/>
        </w:rPr>
        <w:t>Teaching mathematics for understanding: An analysis of lessons submitted by teachers seeking NBPTS certification</w:t>
      </w:r>
      <w:r w:rsidRPr="00E04C7D">
        <w:rPr>
          <w:sz w:val="24"/>
          <w:szCs w:val="24"/>
        </w:rPr>
        <w:t xml:space="preserve">. </w:t>
      </w:r>
      <w:r>
        <w:rPr>
          <w:i/>
          <w:sz w:val="24"/>
          <w:szCs w:val="24"/>
        </w:rPr>
        <w:t>American Educational Research Journal</w:t>
      </w:r>
      <w:r w:rsidRPr="00E04C7D">
        <w:rPr>
          <w:i/>
          <w:sz w:val="24"/>
          <w:szCs w:val="24"/>
        </w:rPr>
        <w:t xml:space="preserve">, </w:t>
      </w:r>
      <w:r>
        <w:rPr>
          <w:i/>
          <w:sz w:val="24"/>
          <w:szCs w:val="24"/>
        </w:rPr>
        <w:t>46</w:t>
      </w:r>
      <w:r>
        <w:rPr>
          <w:sz w:val="24"/>
          <w:szCs w:val="24"/>
        </w:rPr>
        <w:t>(2), 501-531</w:t>
      </w:r>
      <w:r w:rsidRPr="00E04C7D">
        <w:rPr>
          <w:sz w:val="24"/>
          <w:szCs w:val="24"/>
        </w:rPr>
        <w:t>.</w:t>
      </w:r>
    </w:p>
    <w:p w14:paraId="6F31FE92" w14:textId="77777777" w:rsidR="00AD625A" w:rsidRDefault="00AD625A" w:rsidP="00AD625A">
      <w:pPr>
        <w:spacing w:line="480" w:lineRule="auto"/>
        <w:ind w:left="720" w:hanging="720"/>
        <w:rPr>
          <w:sz w:val="24"/>
          <w:szCs w:val="24"/>
        </w:rPr>
      </w:pPr>
      <w:r>
        <w:rPr>
          <w:sz w:val="24"/>
          <w:szCs w:val="24"/>
        </w:rPr>
        <w:t xml:space="preserve">Staples, D. (2014, January 27). Nhung Tran-Davies to take anguished and angry parental concerns </w:t>
      </w:r>
      <w:r w:rsidRPr="00A279D5">
        <w:rPr>
          <w:color w:val="000000" w:themeColor="text1"/>
          <w:sz w:val="24"/>
          <w:szCs w:val="24"/>
        </w:rPr>
        <w:t xml:space="preserve">about discovery math to Alberta Education on Tuesday. </w:t>
      </w:r>
      <w:r w:rsidRPr="00A279D5">
        <w:rPr>
          <w:i/>
          <w:color w:val="000000" w:themeColor="text1"/>
          <w:sz w:val="24"/>
          <w:szCs w:val="24"/>
        </w:rPr>
        <w:t>The Edmonton Journal</w:t>
      </w:r>
      <w:r w:rsidRPr="00A279D5">
        <w:rPr>
          <w:color w:val="000000" w:themeColor="text1"/>
          <w:sz w:val="24"/>
          <w:szCs w:val="24"/>
        </w:rPr>
        <w:t xml:space="preserve">, </w:t>
      </w:r>
      <w:r w:rsidRPr="00A279D5">
        <w:rPr>
          <w:sz w:val="24"/>
          <w:szCs w:val="24"/>
        </w:rPr>
        <w:t xml:space="preserve">Retrieved from </w:t>
      </w:r>
      <w:hyperlink r:id="rId9" w:history="1">
        <w:r w:rsidRPr="00A279D5">
          <w:rPr>
            <w:rStyle w:val="Hyperlink"/>
            <w:color w:val="auto"/>
            <w:sz w:val="24"/>
            <w:szCs w:val="24"/>
            <w:u w:val="none"/>
          </w:rPr>
          <w:t>http://www.blogs.edmontonjournal.com/2014/01/27/don’t-experiment-with-my-children-parents-losing-faith-in-alberta-public</w:t>
        </w:r>
      </w:hyperlink>
      <w:r w:rsidRPr="00A279D5">
        <w:rPr>
          <w:sz w:val="24"/>
          <w:szCs w:val="24"/>
        </w:rPr>
        <w:t>-school</w:t>
      </w:r>
    </w:p>
    <w:p w14:paraId="6C00096B" w14:textId="77777777" w:rsidR="00AD625A" w:rsidRDefault="00AD625A" w:rsidP="00AD625A">
      <w:pPr>
        <w:spacing w:line="480" w:lineRule="auto"/>
        <w:rPr>
          <w:sz w:val="24"/>
          <w:szCs w:val="24"/>
        </w:rPr>
      </w:pPr>
      <w:r>
        <w:rPr>
          <w:sz w:val="24"/>
          <w:szCs w:val="24"/>
        </w:rPr>
        <w:t xml:space="preserve">Shulman, L. S., &amp; Keisler, E. R. (1966). </w:t>
      </w:r>
      <w:r w:rsidRPr="00ED2D02">
        <w:rPr>
          <w:i/>
          <w:sz w:val="24"/>
          <w:szCs w:val="24"/>
        </w:rPr>
        <w:t>Learning by discovery.</w:t>
      </w:r>
      <w:r>
        <w:rPr>
          <w:sz w:val="24"/>
          <w:szCs w:val="24"/>
        </w:rPr>
        <w:t xml:space="preserve"> Chicago: Rand McNally.</w:t>
      </w:r>
    </w:p>
    <w:p w14:paraId="58763ABE" w14:textId="77777777" w:rsidR="00AD625A" w:rsidRDefault="00AD625A" w:rsidP="00AD625A">
      <w:pPr>
        <w:spacing w:line="480" w:lineRule="auto"/>
        <w:ind w:left="720" w:hanging="720"/>
        <w:rPr>
          <w:sz w:val="24"/>
          <w:szCs w:val="24"/>
        </w:rPr>
      </w:pPr>
      <w:r>
        <w:rPr>
          <w:sz w:val="24"/>
          <w:szCs w:val="24"/>
        </w:rPr>
        <w:t xml:space="preserve">van Zee, E. (2010). The role of leadership in fostering inquiry-based learning and teaching. In J. Rhoton (Ed.) </w:t>
      </w:r>
      <w:r w:rsidRPr="00563FE9">
        <w:rPr>
          <w:i/>
          <w:sz w:val="24"/>
          <w:szCs w:val="24"/>
        </w:rPr>
        <w:t>Science education leadership</w:t>
      </w:r>
      <w:r>
        <w:rPr>
          <w:sz w:val="24"/>
          <w:szCs w:val="24"/>
        </w:rPr>
        <w:t>, (pp.159-175). Arlington, VA: NSTA Press, 159.</w:t>
      </w:r>
    </w:p>
    <w:p w14:paraId="36B8A148" w14:textId="602BB328" w:rsidR="00300821" w:rsidRDefault="00AD625A" w:rsidP="00AD625A">
      <w:pPr>
        <w:spacing w:line="480" w:lineRule="auto"/>
        <w:ind w:left="720" w:hanging="720"/>
        <w:rPr>
          <w:sz w:val="24"/>
          <w:szCs w:val="24"/>
        </w:rPr>
      </w:pPr>
      <w:r>
        <w:rPr>
          <w:sz w:val="24"/>
          <w:szCs w:val="24"/>
        </w:rPr>
        <w:t xml:space="preserve">von Glaserfeld, E. (1989) Cognition, construction of knowledge, and teaching. </w:t>
      </w:r>
      <w:r w:rsidRPr="009A4050">
        <w:rPr>
          <w:i/>
          <w:sz w:val="24"/>
          <w:szCs w:val="24"/>
        </w:rPr>
        <w:t>Syntheses, 80</w:t>
      </w:r>
      <w:r>
        <w:rPr>
          <w:sz w:val="24"/>
          <w:szCs w:val="24"/>
        </w:rPr>
        <w:t>(1), 121-140.</w:t>
      </w:r>
    </w:p>
    <w:p w14:paraId="699210A4" w14:textId="77777777" w:rsidR="00AD625A" w:rsidRDefault="00AD625A" w:rsidP="00AD625A">
      <w:pPr>
        <w:spacing w:line="480" w:lineRule="auto"/>
        <w:ind w:left="720" w:hanging="720"/>
        <w:rPr>
          <w:sz w:val="24"/>
          <w:szCs w:val="24"/>
        </w:rPr>
      </w:pPr>
    </w:p>
    <w:p w14:paraId="243B5194" w14:textId="77777777" w:rsidR="00AD625A" w:rsidRPr="00AD625A" w:rsidRDefault="00AD625A" w:rsidP="00AD625A">
      <w:pPr>
        <w:spacing w:line="480" w:lineRule="auto"/>
        <w:ind w:left="720" w:hanging="720"/>
        <w:rPr>
          <w:sz w:val="24"/>
          <w:szCs w:val="24"/>
        </w:rPr>
        <w:sectPr w:rsidR="00AD625A" w:rsidRPr="00AD625A" w:rsidSect="00B875BF">
          <w:headerReference w:type="default" r:id="rId10"/>
          <w:headerReference w:type="first" r:id="rId11"/>
          <w:pgSz w:w="12240" w:h="15840"/>
          <w:pgMar w:top="1440" w:right="1440" w:bottom="1440" w:left="1440" w:header="720" w:footer="720" w:gutter="0"/>
          <w:cols w:space="720"/>
          <w:titlePg/>
          <w:docGrid w:linePitch="360"/>
        </w:sectPr>
      </w:pPr>
    </w:p>
    <w:p w14:paraId="5C9A1B39" w14:textId="77777777" w:rsidR="00EF22F7" w:rsidRPr="006C30B9" w:rsidRDefault="00EF22F7" w:rsidP="008A65F7">
      <w:pPr>
        <w:rPr>
          <w:color w:val="C0504D" w:themeColor="accent2"/>
          <w:sz w:val="24"/>
          <w:szCs w:val="24"/>
        </w:rPr>
      </w:pPr>
    </w:p>
    <w:sectPr w:rsidR="00EF22F7" w:rsidRPr="006C30B9" w:rsidSect="00F92EE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BC53F" w14:textId="77777777" w:rsidR="00153098" w:rsidRDefault="00153098" w:rsidP="00F92EE7">
      <w:r>
        <w:separator/>
      </w:r>
    </w:p>
  </w:endnote>
  <w:endnote w:type="continuationSeparator" w:id="0">
    <w:p w14:paraId="331F34EB" w14:textId="77777777" w:rsidR="00153098" w:rsidRDefault="00153098" w:rsidP="00F9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font200">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B5B42" w14:textId="77777777" w:rsidR="00153098" w:rsidRDefault="00153098" w:rsidP="00F92EE7">
      <w:r>
        <w:separator/>
      </w:r>
    </w:p>
  </w:footnote>
  <w:footnote w:type="continuationSeparator" w:id="0">
    <w:p w14:paraId="0BB3FD37" w14:textId="77777777" w:rsidR="00153098" w:rsidRDefault="00153098" w:rsidP="00F92E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31070" w14:textId="0A0CFB7C" w:rsidR="00153098" w:rsidRDefault="00153098" w:rsidP="002D0C97">
    <w:pPr>
      <w:pStyle w:val="Header"/>
    </w:pPr>
    <w:r>
      <w:t>INQUIRY BASED TEACHING IN MATHEMATICS</w:t>
    </w:r>
    <w:r>
      <w:tab/>
    </w:r>
    <w:r>
      <w:tab/>
    </w:r>
    <w:sdt>
      <w:sdtPr>
        <w:id w:val="165779351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07261">
          <w:rPr>
            <w:noProof/>
          </w:rPr>
          <w:t>14</w:t>
        </w:r>
        <w:r>
          <w:rPr>
            <w:noProof/>
          </w:rPr>
          <w:fldChar w:fldCharType="end"/>
        </w:r>
      </w:sdtContent>
    </w:sdt>
  </w:p>
  <w:p w14:paraId="2B6A759A" w14:textId="77777777" w:rsidR="00153098" w:rsidRDefault="0015309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D73C2" w14:textId="096568DB" w:rsidR="00153098" w:rsidRPr="00AD625A" w:rsidRDefault="00153098" w:rsidP="00AD625A">
    <w:pPr>
      <w:spacing w:line="480" w:lineRule="auto"/>
      <w:rPr>
        <w:sz w:val="24"/>
      </w:rPr>
    </w:pPr>
    <w:r>
      <w:rPr>
        <w:sz w:val="24"/>
      </w:rPr>
      <w:t>Running Head: INQUIRY BASED TEACHING IN MATHEMATICS</w:t>
    </w:r>
  </w:p>
  <w:p w14:paraId="43E29ACA" w14:textId="1F94958C" w:rsidR="00153098" w:rsidRDefault="00153098" w:rsidP="008A65F7">
    <w:pPr>
      <w:pStyle w:val="Header"/>
      <w:tabs>
        <w:tab w:val="clear" w:pos="4680"/>
        <w:tab w:val="clear" w:pos="9360"/>
        <w:tab w:val="left" w:pos="51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1CDC"/>
    <w:multiLevelType w:val="hybridMultilevel"/>
    <w:tmpl w:val="1E3C6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64" w:dllVersion="131078" w:nlCheck="1" w:checkStyle="0"/>
  <w:proofState w:grammar="clean"/>
  <w:doNotTrackMoves/>
  <w:doNotTrackFormattin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C1"/>
    <w:rsid w:val="0000034B"/>
    <w:rsid w:val="00002375"/>
    <w:rsid w:val="00002943"/>
    <w:rsid w:val="00004325"/>
    <w:rsid w:val="0000564F"/>
    <w:rsid w:val="00006EB5"/>
    <w:rsid w:val="00010C97"/>
    <w:rsid w:val="00010EF9"/>
    <w:rsid w:val="00016F01"/>
    <w:rsid w:val="00020385"/>
    <w:rsid w:val="000228FB"/>
    <w:rsid w:val="00022ED0"/>
    <w:rsid w:val="0002527E"/>
    <w:rsid w:val="00025536"/>
    <w:rsid w:val="00027D03"/>
    <w:rsid w:val="00031381"/>
    <w:rsid w:val="00032F69"/>
    <w:rsid w:val="00033121"/>
    <w:rsid w:val="00033301"/>
    <w:rsid w:val="000338D1"/>
    <w:rsid w:val="00033946"/>
    <w:rsid w:val="00034525"/>
    <w:rsid w:val="00034625"/>
    <w:rsid w:val="00034892"/>
    <w:rsid w:val="00034F49"/>
    <w:rsid w:val="00035F4B"/>
    <w:rsid w:val="00037C69"/>
    <w:rsid w:val="000412B6"/>
    <w:rsid w:val="000412F9"/>
    <w:rsid w:val="00041466"/>
    <w:rsid w:val="00042007"/>
    <w:rsid w:val="00043239"/>
    <w:rsid w:val="000435C6"/>
    <w:rsid w:val="000469E9"/>
    <w:rsid w:val="00047B5F"/>
    <w:rsid w:val="00051BC6"/>
    <w:rsid w:val="00051D74"/>
    <w:rsid w:val="00055825"/>
    <w:rsid w:val="000564A5"/>
    <w:rsid w:val="00057C3C"/>
    <w:rsid w:val="00057E21"/>
    <w:rsid w:val="00057E40"/>
    <w:rsid w:val="00060145"/>
    <w:rsid w:val="00063069"/>
    <w:rsid w:val="00063BA3"/>
    <w:rsid w:val="00064D9C"/>
    <w:rsid w:val="00065AB7"/>
    <w:rsid w:val="00065AC7"/>
    <w:rsid w:val="00065E4E"/>
    <w:rsid w:val="000665CF"/>
    <w:rsid w:val="000673BD"/>
    <w:rsid w:val="00067A06"/>
    <w:rsid w:val="000703AF"/>
    <w:rsid w:val="00074B46"/>
    <w:rsid w:val="00075D28"/>
    <w:rsid w:val="00075FFF"/>
    <w:rsid w:val="000768C2"/>
    <w:rsid w:val="00080087"/>
    <w:rsid w:val="00080149"/>
    <w:rsid w:val="0008137B"/>
    <w:rsid w:val="00082A51"/>
    <w:rsid w:val="000830A7"/>
    <w:rsid w:val="00083F58"/>
    <w:rsid w:val="00084992"/>
    <w:rsid w:val="00085205"/>
    <w:rsid w:val="000852E7"/>
    <w:rsid w:val="00086984"/>
    <w:rsid w:val="00091091"/>
    <w:rsid w:val="0009195C"/>
    <w:rsid w:val="00091CA6"/>
    <w:rsid w:val="00094A7B"/>
    <w:rsid w:val="000965C9"/>
    <w:rsid w:val="000A058C"/>
    <w:rsid w:val="000A2DE2"/>
    <w:rsid w:val="000A385C"/>
    <w:rsid w:val="000A38E7"/>
    <w:rsid w:val="000A43FC"/>
    <w:rsid w:val="000A5ADA"/>
    <w:rsid w:val="000A5B7B"/>
    <w:rsid w:val="000B0E64"/>
    <w:rsid w:val="000B334F"/>
    <w:rsid w:val="000B33A0"/>
    <w:rsid w:val="000B4532"/>
    <w:rsid w:val="000B7145"/>
    <w:rsid w:val="000B789F"/>
    <w:rsid w:val="000C1945"/>
    <w:rsid w:val="000C218A"/>
    <w:rsid w:val="000C3498"/>
    <w:rsid w:val="000C4730"/>
    <w:rsid w:val="000C5A14"/>
    <w:rsid w:val="000C6D67"/>
    <w:rsid w:val="000C786A"/>
    <w:rsid w:val="000C7AE0"/>
    <w:rsid w:val="000D124C"/>
    <w:rsid w:val="000D16A1"/>
    <w:rsid w:val="000D1D60"/>
    <w:rsid w:val="000D287C"/>
    <w:rsid w:val="000D2D21"/>
    <w:rsid w:val="000D4BE1"/>
    <w:rsid w:val="000D5BFB"/>
    <w:rsid w:val="000D5D67"/>
    <w:rsid w:val="000D7050"/>
    <w:rsid w:val="000D753D"/>
    <w:rsid w:val="000E1812"/>
    <w:rsid w:val="000E1843"/>
    <w:rsid w:val="000E2132"/>
    <w:rsid w:val="000E22B1"/>
    <w:rsid w:val="000E2D09"/>
    <w:rsid w:val="000E32C8"/>
    <w:rsid w:val="000E354A"/>
    <w:rsid w:val="000E4A50"/>
    <w:rsid w:val="000E5D88"/>
    <w:rsid w:val="000E673B"/>
    <w:rsid w:val="000E6F30"/>
    <w:rsid w:val="000E7D4D"/>
    <w:rsid w:val="000F0494"/>
    <w:rsid w:val="000F40AB"/>
    <w:rsid w:val="000F4EC8"/>
    <w:rsid w:val="000F4FCD"/>
    <w:rsid w:val="00101847"/>
    <w:rsid w:val="00102096"/>
    <w:rsid w:val="00102251"/>
    <w:rsid w:val="00102686"/>
    <w:rsid w:val="00102A63"/>
    <w:rsid w:val="00102D58"/>
    <w:rsid w:val="00102E93"/>
    <w:rsid w:val="0010372C"/>
    <w:rsid w:val="00103F0B"/>
    <w:rsid w:val="001049ED"/>
    <w:rsid w:val="00105360"/>
    <w:rsid w:val="001057D7"/>
    <w:rsid w:val="00105E66"/>
    <w:rsid w:val="001065DE"/>
    <w:rsid w:val="001068EF"/>
    <w:rsid w:val="00106B70"/>
    <w:rsid w:val="00106D86"/>
    <w:rsid w:val="00107583"/>
    <w:rsid w:val="00110BB3"/>
    <w:rsid w:val="00112E32"/>
    <w:rsid w:val="001153A4"/>
    <w:rsid w:val="00116A20"/>
    <w:rsid w:val="00116A9A"/>
    <w:rsid w:val="00116DBD"/>
    <w:rsid w:val="00117E75"/>
    <w:rsid w:val="00125219"/>
    <w:rsid w:val="001257EE"/>
    <w:rsid w:val="0012693C"/>
    <w:rsid w:val="00127E9F"/>
    <w:rsid w:val="00130268"/>
    <w:rsid w:val="00132046"/>
    <w:rsid w:val="001355A3"/>
    <w:rsid w:val="00135965"/>
    <w:rsid w:val="00143D1D"/>
    <w:rsid w:val="00144730"/>
    <w:rsid w:val="00144754"/>
    <w:rsid w:val="001457CC"/>
    <w:rsid w:val="00146A4F"/>
    <w:rsid w:val="0015157A"/>
    <w:rsid w:val="00153098"/>
    <w:rsid w:val="00153FA2"/>
    <w:rsid w:val="001544FC"/>
    <w:rsid w:val="00154DEB"/>
    <w:rsid w:val="00155F42"/>
    <w:rsid w:val="00156744"/>
    <w:rsid w:val="00157411"/>
    <w:rsid w:val="001574A8"/>
    <w:rsid w:val="001579C3"/>
    <w:rsid w:val="001606C1"/>
    <w:rsid w:val="0016092E"/>
    <w:rsid w:val="001643FA"/>
    <w:rsid w:val="0016591F"/>
    <w:rsid w:val="001742B9"/>
    <w:rsid w:val="00176C0F"/>
    <w:rsid w:val="00177B36"/>
    <w:rsid w:val="00177DB6"/>
    <w:rsid w:val="00180B53"/>
    <w:rsid w:val="001814DF"/>
    <w:rsid w:val="0018242F"/>
    <w:rsid w:val="0018376C"/>
    <w:rsid w:val="00183D83"/>
    <w:rsid w:val="00185240"/>
    <w:rsid w:val="001855A5"/>
    <w:rsid w:val="00185A4A"/>
    <w:rsid w:val="00185C07"/>
    <w:rsid w:val="00186900"/>
    <w:rsid w:val="0018690E"/>
    <w:rsid w:val="0019000C"/>
    <w:rsid w:val="001911EC"/>
    <w:rsid w:val="0019218E"/>
    <w:rsid w:val="00193075"/>
    <w:rsid w:val="0019356B"/>
    <w:rsid w:val="00193656"/>
    <w:rsid w:val="00194024"/>
    <w:rsid w:val="00194F64"/>
    <w:rsid w:val="00195CB4"/>
    <w:rsid w:val="001A00A0"/>
    <w:rsid w:val="001A0151"/>
    <w:rsid w:val="001A3428"/>
    <w:rsid w:val="001A7653"/>
    <w:rsid w:val="001B01F8"/>
    <w:rsid w:val="001B17B1"/>
    <w:rsid w:val="001B26D1"/>
    <w:rsid w:val="001B2942"/>
    <w:rsid w:val="001B4F77"/>
    <w:rsid w:val="001B64E8"/>
    <w:rsid w:val="001B7917"/>
    <w:rsid w:val="001B7F4A"/>
    <w:rsid w:val="001C21F3"/>
    <w:rsid w:val="001C2FD5"/>
    <w:rsid w:val="001C3B07"/>
    <w:rsid w:val="001C40DF"/>
    <w:rsid w:val="001C5A7B"/>
    <w:rsid w:val="001D0D65"/>
    <w:rsid w:val="001D296A"/>
    <w:rsid w:val="001D3BFA"/>
    <w:rsid w:val="001D4FE5"/>
    <w:rsid w:val="001D7BEA"/>
    <w:rsid w:val="001E079E"/>
    <w:rsid w:val="001E0F7D"/>
    <w:rsid w:val="001E19C8"/>
    <w:rsid w:val="001E3A8D"/>
    <w:rsid w:val="001E7E73"/>
    <w:rsid w:val="001F02B4"/>
    <w:rsid w:val="001F0615"/>
    <w:rsid w:val="001F063A"/>
    <w:rsid w:val="001F09AF"/>
    <w:rsid w:val="001F1E01"/>
    <w:rsid w:val="001F24D1"/>
    <w:rsid w:val="001F5008"/>
    <w:rsid w:val="001F6399"/>
    <w:rsid w:val="0020156C"/>
    <w:rsid w:val="0020298D"/>
    <w:rsid w:val="00204A01"/>
    <w:rsid w:val="00204CB3"/>
    <w:rsid w:val="002065B9"/>
    <w:rsid w:val="002105EA"/>
    <w:rsid w:val="00211052"/>
    <w:rsid w:val="002117E4"/>
    <w:rsid w:val="00212A49"/>
    <w:rsid w:val="00214744"/>
    <w:rsid w:val="0021544E"/>
    <w:rsid w:val="00217D11"/>
    <w:rsid w:val="00220132"/>
    <w:rsid w:val="00224AAA"/>
    <w:rsid w:val="00225FE2"/>
    <w:rsid w:val="0022713C"/>
    <w:rsid w:val="002272CA"/>
    <w:rsid w:val="002304D9"/>
    <w:rsid w:val="0023094D"/>
    <w:rsid w:val="00230E65"/>
    <w:rsid w:val="00232A39"/>
    <w:rsid w:val="0023369E"/>
    <w:rsid w:val="00235B08"/>
    <w:rsid w:val="00236C42"/>
    <w:rsid w:val="00240D4A"/>
    <w:rsid w:val="00243620"/>
    <w:rsid w:val="00245063"/>
    <w:rsid w:val="00252310"/>
    <w:rsid w:val="00255477"/>
    <w:rsid w:val="00256801"/>
    <w:rsid w:val="00260B9C"/>
    <w:rsid w:val="002622A9"/>
    <w:rsid w:val="002647E5"/>
    <w:rsid w:val="00265E96"/>
    <w:rsid w:val="00266CE4"/>
    <w:rsid w:val="002707F4"/>
    <w:rsid w:val="0027164D"/>
    <w:rsid w:val="00271AD0"/>
    <w:rsid w:val="00272DC9"/>
    <w:rsid w:val="002739BE"/>
    <w:rsid w:val="00274A2C"/>
    <w:rsid w:val="00275333"/>
    <w:rsid w:val="00277B92"/>
    <w:rsid w:val="002818B4"/>
    <w:rsid w:val="002852E8"/>
    <w:rsid w:val="00285E12"/>
    <w:rsid w:val="002902AA"/>
    <w:rsid w:val="0029111F"/>
    <w:rsid w:val="0029169E"/>
    <w:rsid w:val="002918E2"/>
    <w:rsid w:val="00292F0A"/>
    <w:rsid w:val="00294EB3"/>
    <w:rsid w:val="002962BF"/>
    <w:rsid w:val="00296CA0"/>
    <w:rsid w:val="002970F3"/>
    <w:rsid w:val="002A06DB"/>
    <w:rsid w:val="002A0C1E"/>
    <w:rsid w:val="002A13EF"/>
    <w:rsid w:val="002A165E"/>
    <w:rsid w:val="002A1F1E"/>
    <w:rsid w:val="002A2DEC"/>
    <w:rsid w:val="002A2FA7"/>
    <w:rsid w:val="002A381C"/>
    <w:rsid w:val="002A3BC0"/>
    <w:rsid w:val="002A4421"/>
    <w:rsid w:val="002A4861"/>
    <w:rsid w:val="002A5D77"/>
    <w:rsid w:val="002A7D54"/>
    <w:rsid w:val="002B21B8"/>
    <w:rsid w:val="002B2C5A"/>
    <w:rsid w:val="002B2E9C"/>
    <w:rsid w:val="002B3CF3"/>
    <w:rsid w:val="002B4B96"/>
    <w:rsid w:val="002B606C"/>
    <w:rsid w:val="002B70B1"/>
    <w:rsid w:val="002B79EC"/>
    <w:rsid w:val="002C2A66"/>
    <w:rsid w:val="002C31F9"/>
    <w:rsid w:val="002C4789"/>
    <w:rsid w:val="002C5F04"/>
    <w:rsid w:val="002C67C8"/>
    <w:rsid w:val="002C7A1F"/>
    <w:rsid w:val="002D039B"/>
    <w:rsid w:val="002D0C97"/>
    <w:rsid w:val="002D1BC1"/>
    <w:rsid w:val="002D5109"/>
    <w:rsid w:val="002D585B"/>
    <w:rsid w:val="002D71EA"/>
    <w:rsid w:val="002D7732"/>
    <w:rsid w:val="002D7DF1"/>
    <w:rsid w:val="002E11D7"/>
    <w:rsid w:val="002E12CA"/>
    <w:rsid w:val="002E22B5"/>
    <w:rsid w:val="002E2459"/>
    <w:rsid w:val="002E3D14"/>
    <w:rsid w:val="002E5699"/>
    <w:rsid w:val="002E5A28"/>
    <w:rsid w:val="002F0AA1"/>
    <w:rsid w:val="002F1071"/>
    <w:rsid w:val="002F12F9"/>
    <w:rsid w:val="002F1C74"/>
    <w:rsid w:val="002F60B1"/>
    <w:rsid w:val="002F6367"/>
    <w:rsid w:val="002F668F"/>
    <w:rsid w:val="002F7A60"/>
    <w:rsid w:val="00300821"/>
    <w:rsid w:val="003025AE"/>
    <w:rsid w:val="0030401C"/>
    <w:rsid w:val="00304220"/>
    <w:rsid w:val="00304CED"/>
    <w:rsid w:val="00305A4E"/>
    <w:rsid w:val="00306377"/>
    <w:rsid w:val="003067F1"/>
    <w:rsid w:val="00306B31"/>
    <w:rsid w:val="00306E38"/>
    <w:rsid w:val="00307167"/>
    <w:rsid w:val="003073ED"/>
    <w:rsid w:val="003119AF"/>
    <w:rsid w:val="00313DA6"/>
    <w:rsid w:val="003140C4"/>
    <w:rsid w:val="00314569"/>
    <w:rsid w:val="00314F97"/>
    <w:rsid w:val="003160F5"/>
    <w:rsid w:val="00316754"/>
    <w:rsid w:val="0031675D"/>
    <w:rsid w:val="00316E6A"/>
    <w:rsid w:val="00320515"/>
    <w:rsid w:val="003212F1"/>
    <w:rsid w:val="00322574"/>
    <w:rsid w:val="00322C49"/>
    <w:rsid w:val="00322F1C"/>
    <w:rsid w:val="00326956"/>
    <w:rsid w:val="00327228"/>
    <w:rsid w:val="00327A6B"/>
    <w:rsid w:val="003309D3"/>
    <w:rsid w:val="00333C32"/>
    <w:rsid w:val="00333C88"/>
    <w:rsid w:val="003344F1"/>
    <w:rsid w:val="00335242"/>
    <w:rsid w:val="003354BE"/>
    <w:rsid w:val="00335726"/>
    <w:rsid w:val="00336041"/>
    <w:rsid w:val="003361E3"/>
    <w:rsid w:val="00337929"/>
    <w:rsid w:val="00337E3A"/>
    <w:rsid w:val="00340ECB"/>
    <w:rsid w:val="00342A1E"/>
    <w:rsid w:val="00343092"/>
    <w:rsid w:val="0034337E"/>
    <w:rsid w:val="00343C03"/>
    <w:rsid w:val="00343F67"/>
    <w:rsid w:val="0034443F"/>
    <w:rsid w:val="003462DF"/>
    <w:rsid w:val="00350044"/>
    <w:rsid w:val="00351349"/>
    <w:rsid w:val="00352F72"/>
    <w:rsid w:val="003531B5"/>
    <w:rsid w:val="00353410"/>
    <w:rsid w:val="003548F1"/>
    <w:rsid w:val="00355A65"/>
    <w:rsid w:val="0036016D"/>
    <w:rsid w:val="00362AE4"/>
    <w:rsid w:val="00364930"/>
    <w:rsid w:val="00365168"/>
    <w:rsid w:val="003651BD"/>
    <w:rsid w:val="00365580"/>
    <w:rsid w:val="003666BB"/>
    <w:rsid w:val="00367958"/>
    <w:rsid w:val="00367DF0"/>
    <w:rsid w:val="00372719"/>
    <w:rsid w:val="00372C5F"/>
    <w:rsid w:val="0037317B"/>
    <w:rsid w:val="00373CDC"/>
    <w:rsid w:val="003740DE"/>
    <w:rsid w:val="00374C38"/>
    <w:rsid w:val="00375F07"/>
    <w:rsid w:val="003766B3"/>
    <w:rsid w:val="00376C99"/>
    <w:rsid w:val="00380FB6"/>
    <w:rsid w:val="00381DF7"/>
    <w:rsid w:val="00385823"/>
    <w:rsid w:val="00385B06"/>
    <w:rsid w:val="003879E9"/>
    <w:rsid w:val="00395CCF"/>
    <w:rsid w:val="00396D11"/>
    <w:rsid w:val="003A1D6F"/>
    <w:rsid w:val="003A5416"/>
    <w:rsid w:val="003A6543"/>
    <w:rsid w:val="003B0CBF"/>
    <w:rsid w:val="003B178A"/>
    <w:rsid w:val="003B1955"/>
    <w:rsid w:val="003B23FD"/>
    <w:rsid w:val="003B63D7"/>
    <w:rsid w:val="003B6799"/>
    <w:rsid w:val="003C0532"/>
    <w:rsid w:val="003C18B8"/>
    <w:rsid w:val="003C1F99"/>
    <w:rsid w:val="003C64F6"/>
    <w:rsid w:val="003C722E"/>
    <w:rsid w:val="003C7962"/>
    <w:rsid w:val="003C7B39"/>
    <w:rsid w:val="003D0019"/>
    <w:rsid w:val="003D2713"/>
    <w:rsid w:val="003D2DCE"/>
    <w:rsid w:val="003D3EB9"/>
    <w:rsid w:val="003D460C"/>
    <w:rsid w:val="003D7691"/>
    <w:rsid w:val="003E0B5B"/>
    <w:rsid w:val="003E1044"/>
    <w:rsid w:val="003E20E1"/>
    <w:rsid w:val="003E3966"/>
    <w:rsid w:val="003E4CF9"/>
    <w:rsid w:val="003E4F94"/>
    <w:rsid w:val="003E7568"/>
    <w:rsid w:val="003E7726"/>
    <w:rsid w:val="003E7B48"/>
    <w:rsid w:val="003F02A8"/>
    <w:rsid w:val="003F1216"/>
    <w:rsid w:val="003F23EC"/>
    <w:rsid w:val="003F6EAB"/>
    <w:rsid w:val="00400DC8"/>
    <w:rsid w:val="00404641"/>
    <w:rsid w:val="00404D94"/>
    <w:rsid w:val="004067C1"/>
    <w:rsid w:val="00407188"/>
    <w:rsid w:val="00410359"/>
    <w:rsid w:val="00411084"/>
    <w:rsid w:val="004110B6"/>
    <w:rsid w:val="004111A7"/>
    <w:rsid w:val="00413998"/>
    <w:rsid w:val="0041522B"/>
    <w:rsid w:val="00415CC3"/>
    <w:rsid w:val="0041607D"/>
    <w:rsid w:val="00416876"/>
    <w:rsid w:val="00422F58"/>
    <w:rsid w:val="00423B51"/>
    <w:rsid w:val="00424CD6"/>
    <w:rsid w:val="00425E54"/>
    <w:rsid w:val="00426771"/>
    <w:rsid w:val="00431C15"/>
    <w:rsid w:val="004326C9"/>
    <w:rsid w:val="00433628"/>
    <w:rsid w:val="004356BE"/>
    <w:rsid w:val="00435977"/>
    <w:rsid w:val="00435ADD"/>
    <w:rsid w:val="00436208"/>
    <w:rsid w:val="00436AFD"/>
    <w:rsid w:val="00437484"/>
    <w:rsid w:val="00437DFF"/>
    <w:rsid w:val="00441BF9"/>
    <w:rsid w:val="00442685"/>
    <w:rsid w:val="00444275"/>
    <w:rsid w:val="004445B4"/>
    <w:rsid w:val="00444C76"/>
    <w:rsid w:val="004454DB"/>
    <w:rsid w:val="00445FF0"/>
    <w:rsid w:val="00450689"/>
    <w:rsid w:val="00452277"/>
    <w:rsid w:val="00452AAE"/>
    <w:rsid w:val="00454C6A"/>
    <w:rsid w:val="0045554B"/>
    <w:rsid w:val="004560FF"/>
    <w:rsid w:val="00456DBA"/>
    <w:rsid w:val="004606AB"/>
    <w:rsid w:val="004615DB"/>
    <w:rsid w:val="0046215A"/>
    <w:rsid w:val="004635C8"/>
    <w:rsid w:val="004646FA"/>
    <w:rsid w:val="00465898"/>
    <w:rsid w:val="00465D67"/>
    <w:rsid w:val="00466BFD"/>
    <w:rsid w:val="00466DC3"/>
    <w:rsid w:val="00470B16"/>
    <w:rsid w:val="004714F2"/>
    <w:rsid w:val="00472169"/>
    <w:rsid w:val="00482AC8"/>
    <w:rsid w:val="00484AB0"/>
    <w:rsid w:val="00485CCF"/>
    <w:rsid w:val="00486D50"/>
    <w:rsid w:val="00490B22"/>
    <w:rsid w:val="00490DAE"/>
    <w:rsid w:val="00495296"/>
    <w:rsid w:val="004965F3"/>
    <w:rsid w:val="004A3262"/>
    <w:rsid w:val="004A633A"/>
    <w:rsid w:val="004A6688"/>
    <w:rsid w:val="004A7C91"/>
    <w:rsid w:val="004B0C0B"/>
    <w:rsid w:val="004B132B"/>
    <w:rsid w:val="004B292F"/>
    <w:rsid w:val="004B2F14"/>
    <w:rsid w:val="004B594C"/>
    <w:rsid w:val="004B6E4B"/>
    <w:rsid w:val="004B738A"/>
    <w:rsid w:val="004C4926"/>
    <w:rsid w:val="004C4AF0"/>
    <w:rsid w:val="004C5A08"/>
    <w:rsid w:val="004C6184"/>
    <w:rsid w:val="004C639C"/>
    <w:rsid w:val="004C6640"/>
    <w:rsid w:val="004C6940"/>
    <w:rsid w:val="004C7467"/>
    <w:rsid w:val="004D0084"/>
    <w:rsid w:val="004D033E"/>
    <w:rsid w:val="004D3591"/>
    <w:rsid w:val="004D6E45"/>
    <w:rsid w:val="004D7205"/>
    <w:rsid w:val="004D7DAC"/>
    <w:rsid w:val="004E1A42"/>
    <w:rsid w:val="004E3604"/>
    <w:rsid w:val="004E3699"/>
    <w:rsid w:val="004E44F1"/>
    <w:rsid w:val="004E5B3F"/>
    <w:rsid w:val="004E638B"/>
    <w:rsid w:val="004E66DF"/>
    <w:rsid w:val="004E6FDC"/>
    <w:rsid w:val="004E70EB"/>
    <w:rsid w:val="004F1931"/>
    <w:rsid w:val="004F3163"/>
    <w:rsid w:val="004F3176"/>
    <w:rsid w:val="004F45B0"/>
    <w:rsid w:val="004F471A"/>
    <w:rsid w:val="004F474B"/>
    <w:rsid w:val="004F524D"/>
    <w:rsid w:val="004F7A2A"/>
    <w:rsid w:val="004F7FCC"/>
    <w:rsid w:val="005009FF"/>
    <w:rsid w:val="005015E6"/>
    <w:rsid w:val="005027D0"/>
    <w:rsid w:val="0050327A"/>
    <w:rsid w:val="00503283"/>
    <w:rsid w:val="005070D4"/>
    <w:rsid w:val="00511F99"/>
    <w:rsid w:val="00513912"/>
    <w:rsid w:val="00516AA8"/>
    <w:rsid w:val="00517B15"/>
    <w:rsid w:val="00523986"/>
    <w:rsid w:val="00523DAE"/>
    <w:rsid w:val="00524597"/>
    <w:rsid w:val="005264D6"/>
    <w:rsid w:val="00526BFB"/>
    <w:rsid w:val="00527803"/>
    <w:rsid w:val="005317B7"/>
    <w:rsid w:val="00532E28"/>
    <w:rsid w:val="0053348C"/>
    <w:rsid w:val="005364AE"/>
    <w:rsid w:val="00537503"/>
    <w:rsid w:val="005407A2"/>
    <w:rsid w:val="00541A58"/>
    <w:rsid w:val="00541BB7"/>
    <w:rsid w:val="005421AC"/>
    <w:rsid w:val="005446E2"/>
    <w:rsid w:val="00545162"/>
    <w:rsid w:val="0054741D"/>
    <w:rsid w:val="00551172"/>
    <w:rsid w:val="00551403"/>
    <w:rsid w:val="00552BB6"/>
    <w:rsid w:val="0055739C"/>
    <w:rsid w:val="0055782C"/>
    <w:rsid w:val="00557BEC"/>
    <w:rsid w:val="00557F63"/>
    <w:rsid w:val="005606FD"/>
    <w:rsid w:val="005625A2"/>
    <w:rsid w:val="00563FE9"/>
    <w:rsid w:val="0056443C"/>
    <w:rsid w:val="0056608A"/>
    <w:rsid w:val="00566EC7"/>
    <w:rsid w:val="00567A52"/>
    <w:rsid w:val="00567D5A"/>
    <w:rsid w:val="00570C78"/>
    <w:rsid w:val="0057194B"/>
    <w:rsid w:val="00572EAF"/>
    <w:rsid w:val="00574C09"/>
    <w:rsid w:val="005800B0"/>
    <w:rsid w:val="00580B3C"/>
    <w:rsid w:val="005813BE"/>
    <w:rsid w:val="00583CF8"/>
    <w:rsid w:val="00584107"/>
    <w:rsid w:val="00584BEA"/>
    <w:rsid w:val="00585424"/>
    <w:rsid w:val="00587C7F"/>
    <w:rsid w:val="00591D7F"/>
    <w:rsid w:val="00593999"/>
    <w:rsid w:val="005A0120"/>
    <w:rsid w:val="005A0F94"/>
    <w:rsid w:val="005A1A3B"/>
    <w:rsid w:val="005A2C17"/>
    <w:rsid w:val="005A34DF"/>
    <w:rsid w:val="005A44F2"/>
    <w:rsid w:val="005A4B88"/>
    <w:rsid w:val="005A5FA0"/>
    <w:rsid w:val="005B12DA"/>
    <w:rsid w:val="005B1F73"/>
    <w:rsid w:val="005C0D0E"/>
    <w:rsid w:val="005C1B5F"/>
    <w:rsid w:val="005C1D24"/>
    <w:rsid w:val="005C2596"/>
    <w:rsid w:val="005C294A"/>
    <w:rsid w:val="005C3175"/>
    <w:rsid w:val="005C4196"/>
    <w:rsid w:val="005C4D06"/>
    <w:rsid w:val="005C778B"/>
    <w:rsid w:val="005D41E8"/>
    <w:rsid w:val="005D47D1"/>
    <w:rsid w:val="005D56EA"/>
    <w:rsid w:val="005D66A3"/>
    <w:rsid w:val="005D67E7"/>
    <w:rsid w:val="005D7B10"/>
    <w:rsid w:val="005E15F6"/>
    <w:rsid w:val="005E5B51"/>
    <w:rsid w:val="005E6D5A"/>
    <w:rsid w:val="005F08B4"/>
    <w:rsid w:val="005F0DC5"/>
    <w:rsid w:val="005F3153"/>
    <w:rsid w:val="005F523A"/>
    <w:rsid w:val="005F57C6"/>
    <w:rsid w:val="005F72D6"/>
    <w:rsid w:val="00601DC9"/>
    <w:rsid w:val="00603096"/>
    <w:rsid w:val="00603898"/>
    <w:rsid w:val="006043A8"/>
    <w:rsid w:val="006054D3"/>
    <w:rsid w:val="0060731F"/>
    <w:rsid w:val="00611EA2"/>
    <w:rsid w:val="00616A0B"/>
    <w:rsid w:val="00617FC4"/>
    <w:rsid w:val="00621E02"/>
    <w:rsid w:val="0062220F"/>
    <w:rsid w:val="0062293E"/>
    <w:rsid w:val="006231FD"/>
    <w:rsid w:val="0062715B"/>
    <w:rsid w:val="00633D23"/>
    <w:rsid w:val="006376E9"/>
    <w:rsid w:val="00640341"/>
    <w:rsid w:val="00641629"/>
    <w:rsid w:val="0064423A"/>
    <w:rsid w:val="0064429C"/>
    <w:rsid w:val="0064571B"/>
    <w:rsid w:val="00646F95"/>
    <w:rsid w:val="006477AF"/>
    <w:rsid w:val="0065328E"/>
    <w:rsid w:val="0065557A"/>
    <w:rsid w:val="00656855"/>
    <w:rsid w:val="00660A90"/>
    <w:rsid w:val="00662B57"/>
    <w:rsid w:val="00665D9C"/>
    <w:rsid w:val="00670882"/>
    <w:rsid w:val="00671482"/>
    <w:rsid w:val="00673919"/>
    <w:rsid w:val="00673B52"/>
    <w:rsid w:val="00673F44"/>
    <w:rsid w:val="00674523"/>
    <w:rsid w:val="006752EE"/>
    <w:rsid w:val="00677E9D"/>
    <w:rsid w:val="00680513"/>
    <w:rsid w:val="00680802"/>
    <w:rsid w:val="00680870"/>
    <w:rsid w:val="006819CC"/>
    <w:rsid w:val="006833B4"/>
    <w:rsid w:val="00684174"/>
    <w:rsid w:val="00684585"/>
    <w:rsid w:val="00684DF8"/>
    <w:rsid w:val="0068642A"/>
    <w:rsid w:val="00686B31"/>
    <w:rsid w:val="00690110"/>
    <w:rsid w:val="0069135F"/>
    <w:rsid w:val="00692433"/>
    <w:rsid w:val="00692E7C"/>
    <w:rsid w:val="006930A8"/>
    <w:rsid w:val="00693209"/>
    <w:rsid w:val="006934E7"/>
    <w:rsid w:val="006940B3"/>
    <w:rsid w:val="00694596"/>
    <w:rsid w:val="0069490E"/>
    <w:rsid w:val="006A0AFC"/>
    <w:rsid w:val="006A0D71"/>
    <w:rsid w:val="006A2D8C"/>
    <w:rsid w:val="006A43FF"/>
    <w:rsid w:val="006A49E8"/>
    <w:rsid w:val="006A54B2"/>
    <w:rsid w:val="006A6F04"/>
    <w:rsid w:val="006A7015"/>
    <w:rsid w:val="006A70DD"/>
    <w:rsid w:val="006A7188"/>
    <w:rsid w:val="006B322E"/>
    <w:rsid w:val="006B4814"/>
    <w:rsid w:val="006B48B9"/>
    <w:rsid w:val="006C1878"/>
    <w:rsid w:val="006C2DAE"/>
    <w:rsid w:val="006C2F50"/>
    <w:rsid w:val="006C2F91"/>
    <w:rsid w:val="006C30B9"/>
    <w:rsid w:val="006C391C"/>
    <w:rsid w:val="006C5A7C"/>
    <w:rsid w:val="006D054B"/>
    <w:rsid w:val="006D0F63"/>
    <w:rsid w:val="006D1C31"/>
    <w:rsid w:val="006D35E4"/>
    <w:rsid w:val="006D37C8"/>
    <w:rsid w:val="006D550D"/>
    <w:rsid w:val="006D552D"/>
    <w:rsid w:val="006D716C"/>
    <w:rsid w:val="006E00A5"/>
    <w:rsid w:val="006E0595"/>
    <w:rsid w:val="006E1F73"/>
    <w:rsid w:val="006E26B2"/>
    <w:rsid w:val="006E427D"/>
    <w:rsid w:val="006E55CE"/>
    <w:rsid w:val="006E69D2"/>
    <w:rsid w:val="006E748F"/>
    <w:rsid w:val="006F1BD4"/>
    <w:rsid w:val="006F1CFB"/>
    <w:rsid w:val="006F32E5"/>
    <w:rsid w:val="006F3522"/>
    <w:rsid w:val="006F372F"/>
    <w:rsid w:val="006F5DE6"/>
    <w:rsid w:val="006F7552"/>
    <w:rsid w:val="007008B4"/>
    <w:rsid w:val="00700E82"/>
    <w:rsid w:val="00701C83"/>
    <w:rsid w:val="007041A3"/>
    <w:rsid w:val="00706DE7"/>
    <w:rsid w:val="00707ACA"/>
    <w:rsid w:val="00710841"/>
    <w:rsid w:val="0071166B"/>
    <w:rsid w:val="007116F1"/>
    <w:rsid w:val="0071179A"/>
    <w:rsid w:val="0071363F"/>
    <w:rsid w:val="00713948"/>
    <w:rsid w:val="00713C4B"/>
    <w:rsid w:val="007153DB"/>
    <w:rsid w:val="0071549D"/>
    <w:rsid w:val="00717E78"/>
    <w:rsid w:val="007217B9"/>
    <w:rsid w:val="00721842"/>
    <w:rsid w:val="0072329F"/>
    <w:rsid w:val="00723607"/>
    <w:rsid w:val="007253A4"/>
    <w:rsid w:val="00727535"/>
    <w:rsid w:val="007313AD"/>
    <w:rsid w:val="00731BE5"/>
    <w:rsid w:val="00731BEE"/>
    <w:rsid w:val="00733B8D"/>
    <w:rsid w:val="00733BAF"/>
    <w:rsid w:val="00733C50"/>
    <w:rsid w:val="00734B91"/>
    <w:rsid w:val="00735285"/>
    <w:rsid w:val="00736ABC"/>
    <w:rsid w:val="00737A43"/>
    <w:rsid w:val="007412A0"/>
    <w:rsid w:val="0074202D"/>
    <w:rsid w:val="00744D91"/>
    <w:rsid w:val="00745099"/>
    <w:rsid w:val="007450F5"/>
    <w:rsid w:val="007455E3"/>
    <w:rsid w:val="00746091"/>
    <w:rsid w:val="00747122"/>
    <w:rsid w:val="00747BB5"/>
    <w:rsid w:val="00747E2C"/>
    <w:rsid w:val="00750B83"/>
    <w:rsid w:val="00752549"/>
    <w:rsid w:val="00752D77"/>
    <w:rsid w:val="0075403B"/>
    <w:rsid w:val="00754A10"/>
    <w:rsid w:val="00755552"/>
    <w:rsid w:val="00756AEF"/>
    <w:rsid w:val="00761172"/>
    <w:rsid w:val="007611E2"/>
    <w:rsid w:val="007628F1"/>
    <w:rsid w:val="00762A72"/>
    <w:rsid w:val="00763BBE"/>
    <w:rsid w:val="00765114"/>
    <w:rsid w:val="007651C2"/>
    <w:rsid w:val="00765882"/>
    <w:rsid w:val="00766290"/>
    <w:rsid w:val="00767B82"/>
    <w:rsid w:val="0077124D"/>
    <w:rsid w:val="00772D25"/>
    <w:rsid w:val="007738CC"/>
    <w:rsid w:val="007771E3"/>
    <w:rsid w:val="00777266"/>
    <w:rsid w:val="00777532"/>
    <w:rsid w:val="00777889"/>
    <w:rsid w:val="007810FE"/>
    <w:rsid w:val="00783EAB"/>
    <w:rsid w:val="007863CE"/>
    <w:rsid w:val="007867A7"/>
    <w:rsid w:val="007878BC"/>
    <w:rsid w:val="00790F60"/>
    <w:rsid w:val="0079144C"/>
    <w:rsid w:val="00794953"/>
    <w:rsid w:val="00794D95"/>
    <w:rsid w:val="00795AF3"/>
    <w:rsid w:val="00795EAF"/>
    <w:rsid w:val="0079667B"/>
    <w:rsid w:val="007A0086"/>
    <w:rsid w:val="007A02BC"/>
    <w:rsid w:val="007A278A"/>
    <w:rsid w:val="007A2A9A"/>
    <w:rsid w:val="007A3519"/>
    <w:rsid w:val="007A35FC"/>
    <w:rsid w:val="007A46E7"/>
    <w:rsid w:val="007A73E1"/>
    <w:rsid w:val="007B05EC"/>
    <w:rsid w:val="007B1878"/>
    <w:rsid w:val="007B30C3"/>
    <w:rsid w:val="007B3E0A"/>
    <w:rsid w:val="007B41EE"/>
    <w:rsid w:val="007B6EA2"/>
    <w:rsid w:val="007C11CC"/>
    <w:rsid w:val="007C3B8F"/>
    <w:rsid w:val="007C3F49"/>
    <w:rsid w:val="007C3F6E"/>
    <w:rsid w:val="007C44A6"/>
    <w:rsid w:val="007C5FD0"/>
    <w:rsid w:val="007C6659"/>
    <w:rsid w:val="007C6AC2"/>
    <w:rsid w:val="007C7371"/>
    <w:rsid w:val="007C7B27"/>
    <w:rsid w:val="007D0358"/>
    <w:rsid w:val="007D03C2"/>
    <w:rsid w:val="007D1DC5"/>
    <w:rsid w:val="007D2017"/>
    <w:rsid w:val="007D7D2F"/>
    <w:rsid w:val="007D7F66"/>
    <w:rsid w:val="007E0D36"/>
    <w:rsid w:val="007E2264"/>
    <w:rsid w:val="007E22BD"/>
    <w:rsid w:val="007E54E8"/>
    <w:rsid w:val="007E5DA9"/>
    <w:rsid w:val="007F14B7"/>
    <w:rsid w:val="007F434D"/>
    <w:rsid w:val="007F46A3"/>
    <w:rsid w:val="008004BC"/>
    <w:rsid w:val="00801FF3"/>
    <w:rsid w:val="008025E1"/>
    <w:rsid w:val="008041D3"/>
    <w:rsid w:val="008058F5"/>
    <w:rsid w:val="00807261"/>
    <w:rsid w:val="00807DDB"/>
    <w:rsid w:val="008136B5"/>
    <w:rsid w:val="00816F0B"/>
    <w:rsid w:val="00816FCC"/>
    <w:rsid w:val="00820A4B"/>
    <w:rsid w:val="0082157F"/>
    <w:rsid w:val="008247A5"/>
    <w:rsid w:val="00824F0C"/>
    <w:rsid w:val="00825769"/>
    <w:rsid w:val="00825BCF"/>
    <w:rsid w:val="0082652B"/>
    <w:rsid w:val="008265E5"/>
    <w:rsid w:val="00830027"/>
    <w:rsid w:val="00832313"/>
    <w:rsid w:val="00832E57"/>
    <w:rsid w:val="008333BE"/>
    <w:rsid w:val="00835735"/>
    <w:rsid w:val="00835BBF"/>
    <w:rsid w:val="00837E45"/>
    <w:rsid w:val="00837F7A"/>
    <w:rsid w:val="008411DE"/>
    <w:rsid w:val="00841B53"/>
    <w:rsid w:val="00843DE4"/>
    <w:rsid w:val="00845D26"/>
    <w:rsid w:val="00846209"/>
    <w:rsid w:val="00846A11"/>
    <w:rsid w:val="008476B1"/>
    <w:rsid w:val="00847851"/>
    <w:rsid w:val="008517EB"/>
    <w:rsid w:val="008562E4"/>
    <w:rsid w:val="0085647F"/>
    <w:rsid w:val="0085686F"/>
    <w:rsid w:val="008568A3"/>
    <w:rsid w:val="008615AF"/>
    <w:rsid w:val="00861FF9"/>
    <w:rsid w:val="00862D31"/>
    <w:rsid w:val="00864B4E"/>
    <w:rsid w:val="00864BFC"/>
    <w:rsid w:val="00864D9F"/>
    <w:rsid w:val="00870E19"/>
    <w:rsid w:val="00870E1C"/>
    <w:rsid w:val="00873632"/>
    <w:rsid w:val="00874978"/>
    <w:rsid w:val="00874BC9"/>
    <w:rsid w:val="00876225"/>
    <w:rsid w:val="00877F30"/>
    <w:rsid w:val="0088003F"/>
    <w:rsid w:val="00880F93"/>
    <w:rsid w:val="008817A1"/>
    <w:rsid w:val="00886F97"/>
    <w:rsid w:val="008872A8"/>
    <w:rsid w:val="0089202A"/>
    <w:rsid w:val="00892F0B"/>
    <w:rsid w:val="00895385"/>
    <w:rsid w:val="008955EC"/>
    <w:rsid w:val="00895A30"/>
    <w:rsid w:val="00897D30"/>
    <w:rsid w:val="008A1712"/>
    <w:rsid w:val="008A1F83"/>
    <w:rsid w:val="008A304B"/>
    <w:rsid w:val="008A3481"/>
    <w:rsid w:val="008A3E63"/>
    <w:rsid w:val="008A435A"/>
    <w:rsid w:val="008A65F7"/>
    <w:rsid w:val="008A6695"/>
    <w:rsid w:val="008B21B3"/>
    <w:rsid w:val="008B2E9F"/>
    <w:rsid w:val="008B369D"/>
    <w:rsid w:val="008B3821"/>
    <w:rsid w:val="008B5431"/>
    <w:rsid w:val="008B5AE2"/>
    <w:rsid w:val="008B6191"/>
    <w:rsid w:val="008B6844"/>
    <w:rsid w:val="008B7347"/>
    <w:rsid w:val="008B78FC"/>
    <w:rsid w:val="008C049F"/>
    <w:rsid w:val="008C07AE"/>
    <w:rsid w:val="008C13B1"/>
    <w:rsid w:val="008C2F67"/>
    <w:rsid w:val="008C3159"/>
    <w:rsid w:val="008C42B2"/>
    <w:rsid w:val="008C4616"/>
    <w:rsid w:val="008C4840"/>
    <w:rsid w:val="008C564B"/>
    <w:rsid w:val="008D0A95"/>
    <w:rsid w:val="008D216D"/>
    <w:rsid w:val="008D44D9"/>
    <w:rsid w:val="008D7484"/>
    <w:rsid w:val="008D7E61"/>
    <w:rsid w:val="008E0BDD"/>
    <w:rsid w:val="008E1605"/>
    <w:rsid w:val="008E198A"/>
    <w:rsid w:val="008E4FC3"/>
    <w:rsid w:val="008F1FE6"/>
    <w:rsid w:val="008F33DF"/>
    <w:rsid w:val="008F35CA"/>
    <w:rsid w:val="008F381C"/>
    <w:rsid w:val="008F39A3"/>
    <w:rsid w:val="008F432E"/>
    <w:rsid w:val="008F5B53"/>
    <w:rsid w:val="008F6307"/>
    <w:rsid w:val="008F787E"/>
    <w:rsid w:val="008F78B1"/>
    <w:rsid w:val="00903DE4"/>
    <w:rsid w:val="00903E84"/>
    <w:rsid w:val="009061AA"/>
    <w:rsid w:val="009062DD"/>
    <w:rsid w:val="0091031E"/>
    <w:rsid w:val="00911301"/>
    <w:rsid w:val="00914823"/>
    <w:rsid w:val="00914991"/>
    <w:rsid w:val="00915180"/>
    <w:rsid w:val="0091539D"/>
    <w:rsid w:val="009207CB"/>
    <w:rsid w:val="00921A07"/>
    <w:rsid w:val="009220E3"/>
    <w:rsid w:val="0092373B"/>
    <w:rsid w:val="00924F79"/>
    <w:rsid w:val="009278F6"/>
    <w:rsid w:val="009279C7"/>
    <w:rsid w:val="00927EED"/>
    <w:rsid w:val="00930383"/>
    <w:rsid w:val="009314B3"/>
    <w:rsid w:val="00933040"/>
    <w:rsid w:val="009333CD"/>
    <w:rsid w:val="00933F98"/>
    <w:rsid w:val="00936AC6"/>
    <w:rsid w:val="00937260"/>
    <w:rsid w:val="009376CE"/>
    <w:rsid w:val="009438F4"/>
    <w:rsid w:val="0094631C"/>
    <w:rsid w:val="009470C8"/>
    <w:rsid w:val="00947154"/>
    <w:rsid w:val="00951BFC"/>
    <w:rsid w:val="00953BC8"/>
    <w:rsid w:val="0095469F"/>
    <w:rsid w:val="00956CBA"/>
    <w:rsid w:val="009572F4"/>
    <w:rsid w:val="0095752C"/>
    <w:rsid w:val="00960746"/>
    <w:rsid w:val="00960E4C"/>
    <w:rsid w:val="0096134F"/>
    <w:rsid w:val="009619AF"/>
    <w:rsid w:val="00965723"/>
    <w:rsid w:val="009667E2"/>
    <w:rsid w:val="00967001"/>
    <w:rsid w:val="00970157"/>
    <w:rsid w:val="00970187"/>
    <w:rsid w:val="009728AE"/>
    <w:rsid w:val="00972A34"/>
    <w:rsid w:val="0097441E"/>
    <w:rsid w:val="009744A6"/>
    <w:rsid w:val="00974CE5"/>
    <w:rsid w:val="00975C2E"/>
    <w:rsid w:val="00976098"/>
    <w:rsid w:val="0098004A"/>
    <w:rsid w:val="00980652"/>
    <w:rsid w:val="00982039"/>
    <w:rsid w:val="0098292D"/>
    <w:rsid w:val="00983A86"/>
    <w:rsid w:val="00984F4B"/>
    <w:rsid w:val="0098579D"/>
    <w:rsid w:val="00986A65"/>
    <w:rsid w:val="00990C92"/>
    <w:rsid w:val="00990E9F"/>
    <w:rsid w:val="00991B82"/>
    <w:rsid w:val="009941E1"/>
    <w:rsid w:val="0099458C"/>
    <w:rsid w:val="00997852"/>
    <w:rsid w:val="00997857"/>
    <w:rsid w:val="009A1212"/>
    <w:rsid w:val="009A2488"/>
    <w:rsid w:val="009A2C49"/>
    <w:rsid w:val="009A4050"/>
    <w:rsid w:val="009A45DA"/>
    <w:rsid w:val="009A4D5C"/>
    <w:rsid w:val="009A4F65"/>
    <w:rsid w:val="009A6338"/>
    <w:rsid w:val="009A6E08"/>
    <w:rsid w:val="009B02E9"/>
    <w:rsid w:val="009B0AEE"/>
    <w:rsid w:val="009B1557"/>
    <w:rsid w:val="009B2E36"/>
    <w:rsid w:val="009B2E4B"/>
    <w:rsid w:val="009B45BA"/>
    <w:rsid w:val="009B4F8D"/>
    <w:rsid w:val="009B78DF"/>
    <w:rsid w:val="009C0BD4"/>
    <w:rsid w:val="009C1ED0"/>
    <w:rsid w:val="009C2090"/>
    <w:rsid w:val="009C38DB"/>
    <w:rsid w:val="009C3A46"/>
    <w:rsid w:val="009C6F83"/>
    <w:rsid w:val="009C723B"/>
    <w:rsid w:val="009C7AFC"/>
    <w:rsid w:val="009D0174"/>
    <w:rsid w:val="009D0241"/>
    <w:rsid w:val="009D094A"/>
    <w:rsid w:val="009D4F12"/>
    <w:rsid w:val="009D5040"/>
    <w:rsid w:val="009D55AD"/>
    <w:rsid w:val="009D6547"/>
    <w:rsid w:val="009E064F"/>
    <w:rsid w:val="009E0A25"/>
    <w:rsid w:val="009E1870"/>
    <w:rsid w:val="009E2C5A"/>
    <w:rsid w:val="009E3850"/>
    <w:rsid w:val="009E42D5"/>
    <w:rsid w:val="009E7D42"/>
    <w:rsid w:val="009F014C"/>
    <w:rsid w:val="009F0AFC"/>
    <w:rsid w:val="009F1A94"/>
    <w:rsid w:val="009F23E6"/>
    <w:rsid w:val="009F5070"/>
    <w:rsid w:val="009F510F"/>
    <w:rsid w:val="009F550E"/>
    <w:rsid w:val="009F6D23"/>
    <w:rsid w:val="009F70A9"/>
    <w:rsid w:val="009F74AC"/>
    <w:rsid w:val="00A00B54"/>
    <w:rsid w:val="00A0323D"/>
    <w:rsid w:val="00A057A9"/>
    <w:rsid w:val="00A062FC"/>
    <w:rsid w:val="00A06F68"/>
    <w:rsid w:val="00A072C6"/>
    <w:rsid w:val="00A10CDD"/>
    <w:rsid w:val="00A13B23"/>
    <w:rsid w:val="00A14F89"/>
    <w:rsid w:val="00A15718"/>
    <w:rsid w:val="00A15BB4"/>
    <w:rsid w:val="00A15BBE"/>
    <w:rsid w:val="00A21973"/>
    <w:rsid w:val="00A22C0B"/>
    <w:rsid w:val="00A23230"/>
    <w:rsid w:val="00A23EAD"/>
    <w:rsid w:val="00A25918"/>
    <w:rsid w:val="00A279D5"/>
    <w:rsid w:val="00A31A81"/>
    <w:rsid w:val="00A3435D"/>
    <w:rsid w:val="00A372A3"/>
    <w:rsid w:val="00A37862"/>
    <w:rsid w:val="00A4262B"/>
    <w:rsid w:val="00A42ACB"/>
    <w:rsid w:val="00A4324D"/>
    <w:rsid w:val="00A4343F"/>
    <w:rsid w:val="00A44D9B"/>
    <w:rsid w:val="00A44E3B"/>
    <w:rsid w:val="00A47132"/>
    <w:rsid w:val="00A52BBE"/>
    <w:rsid w:val="00A52D0F"/>
    <w:rsid w:val="00A5370E"/>
    <w:rsid w:val="00A53C45"/>
    <w:rsid w:val="00A57643"/>
    <w:rsid w:val="00A57FFB"/>
    <w:rsid w:val="00A60B00"/>
    <w:rsid w:val="00A621C8"/>
    <w:rsid w:val="00A63637"/>
    <w:rsid w:val="00A66A50"/>
    <w:rsid w:val="00A676D3"/>
    <w:rsid w:val="00A727C1"/>
    <w:rsid w:val="00A727E7"/>
    <w:rsid w:val="00A72838"/>
    <w:rsid w:val="00A73DB4"/>
    <w:rsid w:val="00A74B4A"/>
    <w:rsid w:val="00A75DFB"/>
    <w:rsid w:val="00A76723"/>
    <w:rsid w:val="00A7697D"/>
    <w:rsid w:val="00A80019"/>
    <w:rsid w:val="00A80821"/>
    <w:rsid w:val="00A82150"/>
    <w:rsid w:val="00A83EF3"/>
    <w:rsid w:val="00A861B4"/>
    <w:rsid w:val="00A86A50"/>
    <w:rsid w:val="00A87EA4"/>
    <w:rsid w:val="00A90371"/>
    <w:rsid w:val="00A948B8"/>
    <w:rsid w:val="00A95AD5"/>
    <w:rsid w:val="00A9721A"/>
    <w:rsid w:val="00A9762F"/>
    <w:rsid w:val="00A97887"/>
    <w:rsid w:val="00A97DDF"/>
    <w:rsid w:val="00AA0647"/>
    <w:rsid w:val="00AA073E"/>
    <w:rsid w:val="00AA1840"/>
    <w:rsid w:val="00AA221A"/>
    <w:rsid w:val="00AA301F"/>
    <w:rsid w:val="00AA3E2E"/>
    <w:rsid w:val="00AA4CEF"/>
    <w:rsid w:val="00AA66E1"/>
    <w:rsid w:val="00AA6E72"/>
    <w:rsid w:val="00AA78CA"/>
    <w:rsid w:val="00AC258C"/>
    <w:rsid w:val="00AC45AA"/>
    <w:rsid w:val="00AC4F45"/>
    <w:rsid w:val="00AC5E06"/>
    <w:rsid w:val="00AC73FF"/>
    <w:rsid w:val="00AD0343"/>
    <w:rsid w:val="00AD222F"/>
    <w:rsid w:val="00AD4081"/>
    <w:rsid w:val="00AD4109"/>
    <w:rsid w:val="00AD625A"/>
    <w:rsid w:val="00AD6D5A"/>
    <w:rsid w:val="00AD760A"/>
    <w:rsid w:val="00AE1CDF"/>
    <w:rsid w:val="00AE1F96"/>
    <w:rsid w:val="00AE462F"/>
    <w:rsid w:val="00AE49FE"/>
    <w:rsid w:val="00AE4B5A"/>
    <w:rsid w:val="00AE7ECB"/>
    <w:rsid w:val="00AF0C79"/>
    <w:rsid w:val="00AF211F"/>
    <w:rsid w:val="00AF34BE"/>
    <w:rsid w:val="00AF3F58"/>
    <w:rsid w:val="00AF4301"/>
    <w:rsid w:val="00AF4659"/>
    <w:rsid w:val="00AF5495"/>
    <w:rsid w:val="00AF72C3"/>
    <w:rsid w:val="00B0069E"/>
    <w:rsid w:val="00B012F1"/>
    <w:rsid w:val="00B01EB3"/>
    <w:rsid w:val="00B021A2"/>
    <w:rsid w:val="00B03CA6"/>
    <w:rsid w:val="00B068E8"/>
    <w:rsid w:val="00B07E19"/>
    <w:rsid w:val="00B10430"/>
    <w:rsid w:val="00B11330"/>
    <w:rsid w:val="00B14712"/>
    <w:rsid w:val="00B20D85"/>
    <w:rsid w:val="00B2255C"/>
    <w:rsid w:val="00B24674"/>
    <w:rsid w:val="00B250AE"/>
    <w:rsid w:val="00B2618B"/>
    <w:rsid w:val="00B27CBD"/>
    <w:rsid w:val="00B32379"/>
    <w:rsid w:val="00B34401"/>
    <w:rsid w:val="00B34994"/>
    <w:rsid w:val="00B3501D"/>
    <w:rsid w:val="00B355B3"/>
    <w:rsid w:val="00B35708"/>
    <w:rsid w:val="00B361DE"/>
    <w:rsid w:val="00B403CC"/>
    <w:rsid w:val="00B4077D"/>
    <w:rsid w:val="00B41133"/>
    <w:rsid w:val="00B42289"/>
    <w:rsid w:val="00B42416"/>
    <w:rsid w:val="00B43030"/>
    <w:rsid w:val="00B44D29"/>
    <w:rsid w:val="00B45155"/>
    <w:rsid w:val="00B4587C"/>
    <w:rsid w:val="00B45C43"/>
    <w:rsid w:val="00B47F84"/>
    <w:rsid w:val="00B56577"/>
    <w:rsid w:val="00B56C0D"/>
    <w:rsid w:val="00B5746F"/>
    <w:rsid w:val="00B57C12"/>
    <w:rsid w:val="00B6199A"/>
    <w:rsid w:val="00B629EF"/>
    <w:rsid w:val="00B62B49"/>
    <w:rsid w:val="00B63A42"/>
    <w:rsid w:val="00B63C94"/>
    <w:rsid w:val="00B64F43"/>
    <w:rsid w:val="00B656F3"/>
    <w:rsid w:val="00B66143"/>
    <w:rsid w:val="00B66590"/>
    <w:rsid w:val="00B700DE"/>
    <w:rsid w:val="00B71635"/>
    <w:rsid w:val="00B71654"/>
    <w:rsid w:val="00B71A9B"/>
    <w:rsid w:val="00B74756"/>
    <w:rsid w:val="00B74E19"/>
    <w:rsid w:val="00B756E0"/>
    <w:rsid w:val="00B76462"/>
    <w:rsid w:val="00B81A8F"/>
    <w:rsid w:val="00B826C1"/>
    <w:rsid w:val="00B82E10"/>
    <w:rsid w:val="00B82E7A"/>
    <w:rsid w:val="00B83F16"/>
    <w:rsid w:val="00B843C0"/>
    <w:rsid w:val="00B85290"/>
    <w:rsid w:val="00B875BF"/>
    <w:rsid w:val="00B913A7"/>
    <w:rsid w:val="00B95132"/>
    <w:rsid w:val="00B9526A"/>
    <w:rsid w:val="00B974B1"/>
    <w:rsid w:val="00BA0ABF"/>
    <w:rsid w:val="00BA0E81"/>
    <w:rsid w:val="00BA1119"/>
    <w:rsid w:val="00BA3550"/>
    <w:rsid w:val="00BA7535"/>
    <w:rsid w:val="00BB0C3F"/>
    <w:rsid w:val="00BB10FC"/>
    <w:rsid w:val="00BB2133"/>
    <w:rsid w:val="00BB2668"/>
    <w:rsid w:val="00BB2FCD"/>
    <w:rsid w:val="00BB3564"/>
    <w:rsid w:val="00BB44CD"/>
    <w:rsid w:val="00BB495C"/>
    <w:rsid w:val="00BB5D72"/>
    <w:rsid w:val="00BB66C3"/>
    <w:rsid w:val="00BB6EE1"/>
    <w:rsid w:val="00BB7951"/>
    <w:rsid w:val="00BC19A8"/>
    <w:rsid w:val="00BC1DA1"/>
    <w:rsid w:val="00BC3765"/>
    <w:rsid w:val="00BC506F"/>
    <w:rsid w:val="00BC6CDA"/>
    <w:rsid w:val="00BD0074"/>
    <w:rsid w:val="00BD03F7"/>
    <w:rsid w:val="00BD1E4F"/>
    <w:rsid w:val="00BD20FF"/>
    <w:rsid w:val="00BD45DA"/>
    <w:rsid w:val="00BD5695"/>
    <w:rsid w:val="00BE0244"/>
    <w:rsid w:val="00BE4610"/>
    <w:rsid w:val="00BE4C00"/>
    <w:rsid w:val="00BE5B2F"/>
    <w:rsid w:val="00BE5E95"/>
    <w:rsid w:val="00BE6DDB"/>
    <w:rsid w:val="00BF2E43"/>
    <w:rsid w:val="00BF62C1"/>
    <w:rsid w:val="00BF703B"/>
    <w:rsid w:val="00BF78A4"/>
    <w:rsid w:val="00C005CE"/>
    <w:rsid w:val="00C01E08"/>
    <w:rsid w:val="00C02CF4"/>
    <w:rsid w:val="00C03EF2"/>
    <w:rsid w:val="00C050CF"/>
    <w:rsid w:val="00C06EF5"/>
    <w:rsid w:val="00C10532"/>
    <w:rsid w:val="00C1055B"/>
    <w:rsid w:val="00C11184"/>
    <w:rsid w:val="00C15C07"/>
    <w:rsid w:val="00C15EF9"/>
    <w:rsid w:val="00C21422"/>
    <w:rsid w:val="00C2167B"/>
    <w:rsid w:val="00C22636"/>
    <w:rsid w:val="00C2286A"/>
    <w:rsid w:val="00C23470"/>
    <w:rsid w:val="00C24170"/>
    <w:rsid w:val="00C250B9"/>
    <w:rsid w:val="00C262C9"/>
    <w:rsid w:val="00C26915"/>
    <w:rsid w:val="00C27CBC"/>
    <w:rsid w:val="00C30579"/>
    <w:rsid w:val="00C3115B"/>
    <w:rsid w:val="00C318F0"/>
    <w:rsid w:val="00C374A1"/>
    <w:rsid w:val="00C4034D"/>
    <w:rsid w:val="00C40700"/>
    <w:rsid w:val="00C40D57"/>
    <w:rsid w:val="00C4471F"/>
    <w:rsid w:val="00C44AE1"/>
    <w:rsid w:val="00C451B1"/>
    <w:rsid w:val="00C469C7"/>
    <w:rsid w:val="00C46D1F"/>
    <w:rsid w:val="00C470D3"/>
    <w:rsid w:val="00C5074D"/>
    <w:rsid w:val="00C514BF"/>
    <w:rsid w:val="00C514D6"/>
    <w:rsid w:val="00C51F46"/>
    <w:rsid w:val="00C520C6"/>
    <w:rsid w:val="00C5215F"/>
    <w:rsid w:val="00C523BE"/>
    <w:rsid w:val="00C5332A"/>
    <w:rsid w:val="00C5625C"/>
    <w:rsid w:val="00C56391"/>
    <w:rsid w:val="00C5688E"/>
    <w:rsid w:val="00C607B4"/>
    <w:rsid w:val="00C630A4"/>
    <w:rsid w:val="00C632B6"/>
    <w:rsid w:val="00C643C5"/>
    <w:rsid w:val="00C64411"/>
    <w:rsid w:val="00C64F95"/>
    <w:rsid w:val="00C651C7"/>
    <w:rsid w:val="00C65989"/>
    <w:rsid w:val="00C673D0"/>
    <w:rsid w:val="00C67544"/>
    <w:rsid w:val="00C67559"/>
    <w:rsid w:val="00C706B1"/>
    <w:rsid w:val="00C70B51"/>
    <w:rsid w:val="00C7251C"/>
    <w:rsid w:val="00C74075"/>
    <w:rsid w:val="00C75380"/>
    <w:rsid w:val="00C7694E"/>
    <w:rsid w:val="00C779C3"/>
    <w:rsid w:val="00C80AC9"/>
    <w:rsid w:val="00C80DA8"/>
    <w:rsid w:val="00C81625"/>
    <w:rsid w:val="00C81977"/>
    <w:rsid w:val="00C84C1E"/>
    <w:rsid w:val="00C85475"/>
    <w:rsid w:val="00C85947"/>
    <w:rsid w:val="00C863F4"/>
    <w:rsid w:val="00C87048"/>
    <w:rsid w:val="00C87644"/>
    <w:rsid w:val="00C9166A"/>
    <w:rsid w:val="00C91C91"/>
    <w:rsid w:val="00C925D2"/>
    <w:rsid w:val="00C928CC"/>
    <w:rsid w:val="00C9293D"/>
    <w:rsid w:val="00C941D9"/>
    <w:rsid w:val="00C953F9"/>
    <w:rsid w:val="00C964CA"/>
    <w:rsid w:val="00C97014"/>
    <w:rsid w:val="00CA052E"/>
    <w:rsid w:val="00CA2497"/>
    <w:rsid w:val="00CA2E08"/>
    <w:rsid w:val="00CA33C2"/>
    <w:rsid w:val="00CA397C"/>
    <w:rsid w:val="00CA524A"/>
    <w:rsid w:val="00CA7CAC"/>
    <w:rsid w:val="00CB0A1B"/>
    <w:rsid w:val="00CB0C22"/>
    <w:rsid w:val="00CB139C"/>
    <w:rsid w:val="00CB19D6"/>
    <w:rsid w:val="00CB41F5"/>
    <w:rsid w:val="00CB42C9"/>
    <w:rsid w:val="00CB4D4A"/>
    <w:rsid w:val="00CB5682"/>
    <w:rsid w:val="00CB7EFD"/>
    <w:rsid w:val="00CC2FE3"/>
    <w:rsid w:val="00CC39BE"/>
    <w:rsid w:val="00CC48A5"/>
    <w:rsid w:val="00CC4FF6"/>
    <w:rsid w:val="00CC5368"/>
    <w:rsid w:val="00CC7F33"/>
    <w:rsid w:val="00CD2297"/>
    <w:rsid w:val="00CD3ED3"/>
    <w:rsid w:val="00CD4AE2"/>
    <w:rsid w:val="00CD4EAF"/>
    <w:rsid w:val="00CD55F7"/>
    <w:rsid w:val="00CD6638"/>
    <w:rsid w:val="00CE1594"/>
    <w:rsid w:val="00CE1852"/>
    <w:rsid w:val="00CE4CFF"/>
    <w:rsid w:val="00CE71EE"/>
    <w:rsid w:val="00CE7A88"/>
    <w:rsid w:val="00CE7C3A"/>
    <w:rsid w:val="00CF20C0"/>
    <w:rsid w:val="00CF39C2"/>
    <w:rsid w:val="00CF3C9C"/>
    <w:rsid w:val="00CF3DC4"/>
    <w:rsid w:val="00CF470F"/>
    <w:rsid w:val="00CF5C4E"/>
    <w:rsid w:val="00CF5D26"/>
    <w:rsid w:val="00CF634B"/>
    <w:rsid w:val="00CF6C38"/>
    <w:rsid w:val="00D0030F"/>
    <w:rsid w:val="00D011F7"/>
    <w:rsid w:val="00D01ED6"/>
    <w:rsid w:val="00D03B37"/>
    <w:rsid w:val="00D03DC2"/>
    <w:rsid w:val="00D03FF4"/>
    <w:rsid w:val="00D040A4"/>
    <w:rsid w:val="00D058AA"/>
    <w:rsid w:val="00D05D34"/>
    <w:rsid w:val="00D12C76"/>
    <w:rsid w:val="00D15C7F"/>
    <w:rsid w:val="00D164AB"/>
    <w:rsid w:val="00D1755D"/>
    <w:rsid w:val="00D21E93"/>
    <w:rsid w:val="00D22AEE"/>
    <w:rsid w:val="00D25040"/>
    <w:rsid w:val="00D263A3"/>
    <w:rsid w:val="00D27F61"/>
    <w:rsid w:val="00D30106"/>
    <w:rsid w:val="00D3190D"/>
    <w:rsid w:val="00D33236"/>
    <w:rsid w:val="00D33FA0"/>
    <w:rsid w:val="00D363DF"/>
    <w:rsid w:val="00D365CE"/>
    <w:rsid w:val="00D40C31"/>
    <w:rsid w:val="00D45983"/>
    <w:rsid w:val="00D471DB"/>
    <w:rsid w:val="00D51101"/>
    <w:rsid w:val="00D51A65"/>
    <w:rsid w:val="00D525E5"/>
    <w:rsid w:val="00D527C8"/>
    <w:rsid w:val="00D53BD8"/>
    <w:rsid w:val="00D5470E"/>
    <w:rsid w:val="00D5543B"/>
    <w:rsid w:val="00D5578B"/>
    <w:rsid w:val="00D5770C"/>
    <w:rsid w:val="00D603C1"/>
    <w:rsid w:val="00D606E5"/>
    <w:rsid w:val="00D60C80"/>
    <w:rsid w:val="00D61679"/>
    <w:rsid w:val="00D61B76"/>
    <w:rsid w:val="00D72320"/>
    <w:rsid w:val="00D72739"/>
    <w:rsid w:val="00D72F31"/>
    <w:rsid w:val="00D743CE"/>
    <w:rsid w:val="00D74F12"/>
    <w:rsid w:val="00D76092"/>
    <w:rsid w:val="00D76853"/>
    <w:rsid w:val="00D7770E"/>
    <w:rsid w:val="00D81D3E"/>
    <w:rsid w:val="00D83917"/>
    <w:rsid w:val="00D86EE1"/>
    <w:rsid w:val="00D905F1"/>
    <w:rsid w:val="00D90B96"/>
    <w:rsid w:val="00D92A07"/>
    <w:rsid w:val="00D92B69"/>
    <w:rsid w:val="00D93A96"/>
    <w:rsid w:val="00D9468A"/>
    <w:rsid w:val="00D946CB"/>
    <w:rsid w:val="00D94FD2"/>
    <w:rsid w:val="00D95332"/>
    <w:rsid w:val="00D9581D"/>
    <w:rsid w:val="00D95D86"/>
    <w:rsid w:val="00D9667E"/>
    <w:rsid w:val="00D97ED8"/>
    <w:rsid w:val="00DA020E"/>
    <w:rsid w:val="00DA1569"/>
    <w:rsid w:val="00DA43EF"/>
    <w:rsid w:val="00DA47C5"/>
    <w:rsid w:val="00DA4D61"/>
    <w:rsid w:val="00DA5906"/>
    <w:rsid w:val="00DB36AB"/>
    <w:rsid w:val="00DB3912"/>
    <w:rsid w:val="00DB470B"/>
    <w:rsid w:val="00DB7841"/>
    <w:rsid w:val="00DB7915"/>
    <w:rsid w:val="00DC03D2"/>
    <w:rsid w:val="00DC0BBD"/>
    <w:rsid w:val="00DC311F"/>
    <w:rsid w:val="00DC4555"/>
    <w:rsid w:val="00DC4572"/>
    <w:rsid w:val="00DC56B1"/>
    <w:rsid w:val="00DC6D21"/>
    <w:rsid w:val="00DD0B58"/>
    <w:rsid w:val="00DD1FC1"/>
    <w:rsid w:val="00DD25D4"/>
    <w:rsid w:val="00DD2774"/>
    <w:rsid w:val="00DD2EDD"/>
    <w:rsid w:val="00DD397E"/>
    <w:rsid w:val="00DD605B"/>
    <w:rsid w:val="00DE06B9"/>
    <w:rsid w:val="00DE2131"/>
    <w:rsid w:val="00DE2A94"/>
    <w:rsid w:val="00DF03CA"/>
    <w:rsid w:val="00DF1E24"/>
    <w:rsid w:val="00DF3B99"/>
    <w:rsid w:val="00DF4D9E"/>
    <w:rsid w:val="00DF58D9"/>
    <w:rsid w:val="00E013E1"/>
    <w:rsid w:val="00E039E6"/>
    <w:rsid w:val="00E03CCA"/>
    <w:rsid w:val="00E043A5"/>
    <w:rsid w:val="00E04C7D"/>
    <w:rsid w:val="00E04DCC"/>
    <w:rsid w:val="00E05F1D"/>
    <w:rsid w:val="00E05FA3"/>
    <w:rsid w:val="00E070AD"/>
    <w:rsid w:val="00E11F28"/>
    <w:rsid w:val="00E1398E"/>
    <w:rsid w:val="00E13CD9"/>
    <w:rsid w:val="00E1420A"/>
    <w:rsid w:val="00E150AC"/>
    <w:rsid w:val="00E168E7"/>
    <w:rsid w:val="00E1708E"/>
    <w:rsid w:val="00E17799"/>
    <w:rsid w:val="00E177FC"/>
    <w:rsid w:val="00E20980"/>
    <w:rsid w:val="00E20D87"/>
    <w:rsid w:val="00E2312D"/>
    <w:rsid w:val="00E2482C"/>
    <w:rsid w:val="00E249F4"/>
    <w:rsid w:val="00E3068D"/>
    <w:rsid w:val="00E30E47"/>
    <w:rsid w:val="00E31347"/>
    <w:rsid w:val="00E313B6"/>
    <w:rsid w:val="00E32E59"/>
    <w:rsid w:val="00E33DDB"/>
    <w:rsid w:val="00E34891"/>
    <w:rsid w:val="00E36D56"/>
    <w:rsid w:val="00E37432"/>
    <w:rsid w:val="00E42A30"/>
    <w:rsid w:val="00E42A78"/>
    <w:rsid w:val="00E43E98"/>
    <w:rsid w:val="00E44DD2"/>
    <w:rsid w:val="00E4686C"/>
    <w:rsid w:val="00E519B3"/>
    <w:rsid w:val="00E533B6"/>
    <w:rsid w:val="00E555D6"/>
    <w:rsid w:val="00E55DA3"/>
    <w:rsid w:val="00E60147"/>
    <w:rsid w:val="00E60A4B"/>
    <w:rsid w:val="00E628B9"/>
    <w:rsid w:val="00E6357B"/>
    <w:rsid w:val="00E640AB"/>
    <w:rsid w:val="00E64AC6"/>
    <w:rsid w:val="00E65B83"/>
    <w:rsid w:val="00E66201"/>
    <w:rsid w:val="00E66AC0"/>
    <w:rsid w:val="00E6718D"/>
    <w:rsid w:val="00E67498"/>
    <w:rsid w:val="00E71E15"/>
    <w:rsid w:val="00E72C0D"/>
    <w:rsid w:val="00E75D06"/>
    <w:rsid w:val="00E76B77"/>
    <w:rsid w:val="00E76F60"/>
    <w:rsid w:val="00E80AC6"/>
    <w:rsid w:val="00E80B90"/>
    <w:rsid w:val="00E83755"/>
    <w:rsid w:val="00E83E78"/>
    <w:rsid w:val="00E841F7"/>
    <w:rsid w:val="00E873E9"/>
    <w:rsid w:val="00E874C0"/>
    <w:rsid w:val="00E90489"/>
    <w:rsid w:val="00E92002"/>
    <w:rsid w:val="00E932A7"/>
    <w:rsid w:val="00E93971"/>
    <w:rsid w:val="00E93A35"/>
    <w:rsid w:val="00E93C74"/>
    <w:rsid w:val="00E93C88"/>
    <w:rsid w:val="00E95E19"/>
    <w:rsid w:val="00E964CE"/>
    <w:rsid w:val="00E96546"/>
    <w:rsid w:val="00E97675"/>
    <w:rsid w:val="00EA030F"/>
    <w:rsid w:val="00EA178E"/>
    <w:rsid w:val="00EA1E6B"/>
    <w:rsid w:val="00EA1FF8"/>
    <w:rsid w:val="00EA4303"/>
    <w:rsid w:val="00EA4B01"/>
    <w:rsid w:val="00EA4DFD"/>
    <w:rsid w:val="00EB148E"/>
    <w:rsid w:val="00EB1685"/>
    <w:rsid w:val="00EB22F0"/>
    <w:rsid w:val="00EB3FB5"/>
    <w:rsid w:val="00EB4845"/>
    <w:rsid w:val="00EB5CED"/>
    <w:rsid w:val="00EB70A1"/>
    <w:rsid w:val="00EB78A6"/>
    <w:rsid w:val="00EB7EAF"/>
    <w:rsid w:val="00EC01B6"/>
    <w:rsid w:val="00EC1431"/>
    <w:rsid w:val="00EC1709"/>
    <w:rsid w:val="00EC1930"/>
    <w:rsid w:val="00EC42B7"/>
    <w:rsid w:val="00EC4C6D"/>
    <w:rsid w:val="00EC5630"/>
    <w:rsid w:val="00EC5D83"/>
    <w:rsid w:val="00EC6D12"/>
    <w:rsid w:val="00EC6E51"/>
    <w:rsid w:val="00EC6EC6"/>
    <w:rsid w:val="00ED013B"/>
    <w:rsid w:val="00ED1928"/>
    <w:rsid w:val="00ED2D02"/>
    <w:rsid w:val="00ED2DAE"/>
    <w:rsid w:val="00ED3C48"/>
    <w:rsid w:val="00ED58C4"/>
    <w:rsid w:val="00ED69F9"/>
    <w:rsid w:val="00ED7855"/>
    <w:rsid w:val="00EE03B6"/>
    <w:rsid w:val="00EE1575"/>
    <w:rsid w:val="00EE4317"/>
    <w:rsid w:val="00EE5EDC"/>
    <w:rsid w:val="00EE67E7"/>
    <w:rsid w:val="00EF0B2E"/>
    <w:rsid w:val="00EF15C8"/>
    <w:rsid w:val="00EF22F7"/>
    <w:rsid w:val="00EF39B4"/>
    <w:rsid w:val="00EF52E0"/>
    <w:rsid w:val="00EF7512"/>
    <w:rsid w:val="00EF7AF8"/>
    <w:rsid w:val="00EF7D9A"/>
    <w:rsid w:val="00F00285"/>
    <w:rsid w:val="00F00A4E"/>
    <w:rsid w:val="00F01842"/>
    <w:rsid w:val="00F02AEB"/>
    <w:rsid w:val="00F02E51"/>
    <w:rsid w:val="00F04538"/>
    <w:rsid w:val="00F04812"/>
    <w:rsid w:val="00F05900"/>
    <w:rsid w:val="00F064C8"/>
    <w:rsid w:val="00F1119B"/>
    <w:rsid w:val="00F123EC"/>
    <w:rsid w:val="00F12599"/>
    <w:rsid w:val="00F129DE"/>
    <w:rsid w:val="00F13E30"/>
    <w:rsid w:val="00F20C55"/>
    <w:rsid w:val="00F23A45"/>
    <w:rsid w:val="00F25439"/>
    <w:rsid w:val="00F26497"/>
    <w:rsid w:val="00F3038B"/>
    <w:rsid w:val="00F3228A"/>
    <w:rsid w:val="00F3666E"/>
    <w:rsid w:val="00F4059E"/>
    <w:rsid w:val="00F40AAE"/>
    <w:rsid w:val="00F4277E"/>
    <w:rsid w:val="00F43053"/>
    <w:rsid w:val="00F4389E"/>
    <w:rsid w:val="00F438A5"/>
    <w:rsid w:val="00F43AE1"/>
    <w:rsid w:val="00F43E24"/>
    <w:rsid w:val="00F44A91"/>
    <w:rsid w:val="00F46732"/>
    <w:rsid w:val="00F47AA5"/>
    <w:rsid w:val="00F47E09"/>
    <w:rsid w:val="00F50E76"/>
    <w:rsid w:val="00F567E1"/>
    <w:rsid w:val="00F576D2"/>
    <w:rsid w:val="00F57FC3"/>
    <w:rsid w:val="00F6021C"/>
    <w:rsid w:val="00F60847"/>
    <w:rsid w:val="00F61A61"/>
    <w:rsid w:val="00F624CC"/>
    <w:rsid w:val="00F649D8"/>
    <w:rsid w:val="00F64E7E"/>
    <w:rsid w:val="00F653B4"/>
    <w:rsid w:val="00F655D5"/>
    <w:rsid w:val="00F65C8C"/>
    <w:rsid w:val="00F677D7"/>
    <w:rsid w:val="00F70F22"/>
    <w:rsid w:val="00F726C6"/>
    <w:rsid w:val="00F76EC7"/>
    <w:rsid w:val="00F81B0A"/>
    <w:rsid w:val="00F83C0F"/>
    <w:rsid w:val="00F8439E"/>
    <w:rsid w:val="00F8526D"/>
    <w:rsid w:val="00F8573C"/>
    <w:rsid w:val="00F85F5F"/>
    <w:rsid w:val="00F8675B"/>
    <w:rsid w:val="00F86A75"/>
    <w:rsid w:val="00F91860"/>
    <w:rsid w:val="00F91A4F"/>
    <w:rsid w:val="00F92623"/>
    <w:rsid w:val="00F92EE7"/>
    <w:rsid w:val="00F931A5"/>
    <w:rsid w:val="00F962AB"/>
    <w:rsid w:val="00F96881"/>
    <w:rsid w:val="00FA12B0"/>
    <w:rsid w:val="00FA1C45"/>
    <w:rsid w:val="00FA1DFF"/>
    <w:rsid w:val="00FA42E4"/>
    <w:rsid w:val="00FA4B8D"/>
    <w:rsid w:val="00FA59F4"/>
    <w:rsid w:val="00FA6986"/>
    <w:rsid w:val="00FB02B3"/>
    <w:rsid w:val="00FB2B9B"/>
    <w:rsid w:val="00FB413C"/>
    <w:rsid w:val="00FB42E5"/>
    <w:rsid w:val="00FB48CE"/>
    <w:rsid w:val="00FB587D"/>
    <w:rsid w:val="00FB745E"/>
    <w:rsid w:val="00FC0BAD"/>
    <w:rsid w:val="00FC0E4F"/>
    <w:rsid w:val="00FC52B0"/>
    <w:rsid w:val="00FC53CE"/>
    <w:rsid w:val="00FC7A20"/>
    <w:rsid w:val="00FC7D14"/>
    <w:rsid w:val="00FD0862"/>
    <w:rsid w:val="00FD10AC"/>
    <w:rsid w:val="00FD191B"/>
    <w:rsid w:val="00FD28A1"/>
    <w:rsid w:val="00FD520D"/>
    <w:rsid w:val="00FD73B6"/>
    <w:rsid w:val="00FE1262"/>
    <w:rsid w:val="00FE2322"/>
    <w:rsid w:val="00FE2998"/>
    <w:rsid w:val="00FE2E2F"/>
    <w:rsid w:val="00FE338C"/>
    <w:rsid w:val="00FE45D2"/>
    <w:rsid w:val="00FE5A54"/>
    <w:rsid w:val="00FE70C8"/>
    <w:rsid w:val="00FF0559"/>
    <w:rsid w:val="00FF1D27"/>
    <w:rsid w:val="00FF2698"/>
    <w:rsid w:val="00FF3848"/>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72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03"/>
    <w:pPr>
      <w:widowControl w:val="0"/>
      <w:overflowPunct w:val="0"/>
      <w:autoSpaceDE w:val="0"/>
      <w:autoSpaceDN w:val="0"/>
      <w:adjustRightInd w:val="0"/>
    </w:pPr>
    <w:rPr>
      <w:rFonts w:ascii="Times New Roman" w:eastAsia="Times New Roman" w:hAnsi="Times New Roman" w:cs="Times New Roman"/>
      <w:kern w:val="28"/>
      <w:sz w:val="20"/>
      <w:szCs w:val="20"/>
    </w:rPr>
  </w:style>
  <w:style w:type="paragraph" w:styleId="Heading2">
    <w:name w:val="heading 2"/>
    <w:basedOn w:val="Normal"/>
    <w:next w:val="Normal"/>
    <w:link w:val="Heading2Char"/>
    <w:uiPriority w:val="9"/>
    <w:semiHidden/>
    <w:unhideWhenUsed/>
    <w:qFormat/>
    <w:rsid w:val="00A062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TitlePage">
    <w:name w:val="APA Title Page"/>
    <w:basedOn w:val="Normal"/>
    <w:rsid w:val="00A062FC"/>
    <w:pPr>
      <w:widowControl/>
      <w:overflowPunct/>
      <w:autoSpaceDE/>
      <w:autoSpaceDN/>
      <w:adjustRightInd/>
      <w:spacing w:line="480" w:lineRule="auto"/>
      <w:jc w:val="center"/>
    </w:pPr>
    <w:rPr>
      <w:kern w:val="0"/>
      <w:sz w:val="24"/>
    </w:rPr>
  </w:style>
  <w:style w:type="character" w:customStyle="1" w:styleId="Heading2Char">
    <w:name w:val="Heading 2 Char"/>
    <w:basedOn w:val="DefaultParagraphFont"/>
    <w:link w:val="Heading2"/>
    <w:uiPriority w:val="9"/>
    <w:rsid w:val="00A062FC"/>
    <w:rPr>
      <w:rFonts w:asciiTheme="majorHAnsi" w:eastAsiaTheme="majorEastAsia" w:hAnsiTheme="majorHAnsi" w:cstheme="majorBidi"/>
      <w:b/>
      <w:bCs/>
      <w:color w:val="4F81BD" w:themeColor="accent1"/>
      <w:kern w:val="28"/>
      <w:sz w:val="26"/>
      <w:szCs w:val="26"/>
    </w:rPr>
  </w:style>
  <w:style w:type="paragraph" w:styleId="NoSpacing">
    <w:name w:val="No Spacing"/>
    <w:uiPriority w:val="99"/>
    <w:qFormat/>
    <w:rsid w:val="00CB0C22"/>
    <w:pPr>
      <w:suppressAutoHyphens/>
      <w:spacing w:line="100" w:lineRule="atLeast"/>
    </w:pPr>
    <w:rPr>
      <w:rFonts w:ascii="Calibri" w:eastAsia="Times New Roman" w:hAnsi="Calibri" w:cs="font200"/>
      <w:kern w:val="2"/>
      <w:sz w:val="22"/>
      <w:szCs w:val="22"/>
      <w:lang w:eastAsia="ar-SA"/>
    </w:rPr>
  </w:style>
  <w:style w:type="paragraph" w:styleId="Header">
    <w:name w:val="header"/>
    <w:basedOn w:val="Normal"/>
    <w:link w:val="HeaderChar"/>
    <w:uiPriority w:val="99"/>
    <w:unhideWhenUsed/>
    <w:rsid w:val="00F92EE7"/>
    <w:pPr>
      <w:tabs>
        <w:tab w:val="center" w:pos="4680"/>
        <w:tab w:val="right" w:pos="9360"/>
      </w:tabs>
    </w:pPr>
  </w:style>
  <w:style w:type="character" w:customStyle="1" w:styleId="HeaderChar">
    <w:name w:val="Header Char"/>
    <w:basedOn w:val="DefaultParagraphFont"/>
    <w:link w:val="Header"/>
    <w:uiPriority w:val="99"/>
    <w:rsid w:val="00F92EE7"/>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2EE7"/>
    <w:pPr>
      <w:tabs>
        <w:tab w:val="center" w:pos="4680"/>
        <w:tab w:val="right" w:pos="9360"/>
      </w:tabs>
    </w:pPr>
  </w:style>
  <w:style w:type="character" w:customStyle="1" w:styleId="FooterChar">
    <w:name w:val="Footer Char"/>
    <w:basedOn w:val="DefaultParagraphFont"/>
    <w:link w:val="Footer"/>
    <w:uiPriority w:val="99"/>
    <w:rsid w:val="00F92EE7"/>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F92EE7"/>
    <w:rPr>
      <w:rFonts w:ascii="Tahoma" w:hAnsi="Tahoma" w:cs="Tahoma"/>
      <w:sz w:val="16"/>
      <w:szCs w:val="16"/>
    </w:rPr>
  </w:style>
  <w:style w:type="character" w:customStyle="1" w:styleId="BalloonTextChar">
    <w:name w:val="Balloon Text Char"/>
    <w:basedOn w:val="DefaultParagraphFont"/>
    <w:link w:val="BalloonText"/>
    <w:uiPriority w:val="99"/>
    <w:semiHidden/>
    <w:rsid w:val="00F92EE7"/>
    <w:rPr>
      <w:rFonts w:ascii="Tahoma" w:eastAsia="Times New Roman" w:hAnsi="Tahoma" w:cs="Tahoma"/>
      <w:kern w:val="28"/>
      <w:sz w:val="16"/>
      <w:szCs w:val="16"/>
    </w:rPr>
  </w:style>
  <w:style w:type="character" w:customStyle="1" w:styleId="apple-converted-space">
    <w:name w:val="apple-converted-space"/>
    <w:basedOn w:val="DefaultParagraphFont"/>
    <w:rsid w:val="001065DE"/>
  </w:style>
  <w:style w:type="character" w:styleId="Hyperlink">
    <w:name w:val="Hyperlink"/>
    <w:basedOn w:val="DefaultParagraphFont"/>
    <w:uiPriority w:val="99"/>
    <w:unhideWhenUsed/>
    <w:rsid w:val="002117E4"/>
    <w:rPr>
      <w:color w:val="0000FF" w:themeColor="hyperlink"/>
      <w:u w:val="single"/>
    </w:rPr>
  </w:style>
  <w:style w:type="character" w:styleId="Emphasis">
    <w:name w:val="Emphasis"/>
    <w:basedOn w:val="DefaultParagraphFont"/>
    <w:uiPriority w:val="20"/>
    <w:qFormat/>
    <w:rsid w:val="00AE4B5A"/>
    <w:rPr>
      <w:i/>
      <w:iCs/>
    </w:rPr>
  </w:style>
  <w:style w:type="character" w:styleId="Strong">
    <w:name w:val="Strong"/>
    <w:basedOn w:val="DefaultParagraphFont"/>
    <w:uiPriority w:val="22"/>
    <w:qFormat/>
    <w:rsid w:val="00AE4B5A"/>
    <w:rPr>
      <w:b/>
      <w:bCs/>
    </w:rPr>
  </w:style>
  <w:style w:type="character" w:styleId="CommentReference">
    <w:name w:val="annotation reference"/>
    <w:basedOn w:val="DefaultParagraphFont"/>
    <w:uiPriority w:val="99"/>
    <w:semiHidden/>
    <w:unhideWhenUsed/>
    <w:rsid w:val="0065328E"/>
    <w:rPr>
      <w:sz w:val="16"/>
      <w:szCs w:val="16"/>
    </w:rPr>
  </w:style>
  <w:style w:type="paragraph" w:styleId="CommentText">
    <w:name w:val="annotation text"/>
    <w:basedOn w:val="Normal"/>
    <w:link w:val="CommentTextChar"/>
    <w:uiPriority w:val="99"/>
    <w:semiHidden/>
    <w:unhideWhenUsed/>
    <w:rsid w:val="0065328E"/>
  </w:style>
  <w:style w:type="character" w:customStyle="1" w:styleId="CommentTextChar">
    <w:name w:val="Comment Text Char"/>
    <w:basedOn w:val="DefaultParagraphFont"/>
    <w:link w:val="CommentText"/>
    <w:uiPriority w:val="99"/>
    <w:semiHidden/>
    <w:rsid w:val="0065328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5328E"/>
    <w:rPr>
      <w:b/>
      <w:bCs/>
    </w:rPr>
  </w:style>
  <w:style w:type="character" w:customStyle="1" w:styleId="CommentSubjectChar">
    <w:name w:val="Comment Subject Char"/>
    <w:basedOn w:val="CommentTextChar"/>
    <w:link w:val="CommentSubject"/>
    <w:uiPriority w:val="99"/>
    <w:semiHidden/>
    <w:rsid w:val="0065328E"/>
    <w:rPr>
      <w:rFonts w:ascii="Times New Roman" w:eastAsia="Times New Roman" w:hAnsi="Times New Roman" w:cs="Times New Roman"/>
      <w:b/>
      <w:bCs/>
      <w:kern w:val="28"/>
      <w:sz w:val="20"/>
      <w:szCs w:val="20"/>
    </w:rPr>
  </w:style>
  <w:style w:type="table" w:styleId="TableGrid">
    <w:name w:val="Table Grid"/>
    <w:basedOn w:val="TableNormal"/>
    <w:uiPriority w:val="59"/>
    <w:rsid w:val="00846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padding">
    <w:name w:val="toppadding"/>
    <w:basedOn w:val="Normal"/>
    <w:rsid w:val="005F3153"/>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semiHidden/>
    <w:unhideWhenUsed/>
    <w:rsid w:val="005F3153"/>
    <w:pPr>
      <w:widowControl/>
      <w:overflowPunct/>
      <w:autoSpaceDE/>
      <w:autoSpaceDN/>
      <w:adjustRightInd/>
      <w:spacing w:before="100" w:beforeAutospacing="1" w:after="100" w:afterAutospacing="1"/>
    </w:pPr>
    <w:rPr>
      <w:kern w:val="0"/>
      <w:sz w:val="24"/>
      <w:szCs w:val="24"/>
    </w:rPr>
  </w:style>
  <w:style w:type="character" w:styleId="FollowedHyperlink">
    <w:name w:val="FollowedHyperlink"/>
    <w:basedOn w:val="DefaultParagraphFont"/>
    <w:uiPriority w:val="99"/>
    <w:semiHidden/>
    <w:unhideWhenUsed/>
    <w:rsid w:val="00A279D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03"/>
    <w:pPr>
      <w:widowControl w:val="0"/>
      <w:overflowPunct w:val="0"/>
      <w:autoSpaceDE w:val="0"/>
      <w:autoSpaceDN w:val="0"/>
      <w:adjustRightInd w:val="0"/>
    </w:pPr>
    <w:rPr>
      <w:rFonts w:ascii="Times New Roman" w:eastAsia="Times New Roman" w:hAnsi="Times New Roman" w:cs="Times New Roman"/>
      <w:kern w:val="28"/>
      <w:sz w:val="20"/>
      <w:szCs w:val="20"/>
    </w:rPr>
  </w:style>
  <w:style w:type="paragraph" w:styleId="Heading2">
    <w:name w:val="heading 2"/>
    <w:basedOn w:val="Normal"/>
    <w:next w:val="Normal"/>
    <w:link w:val="Heading2Char"/>
    <w:uiPriority w:val="9"/>
    <w:semiHidden/>
    <w:unhideWhenUsed/>
    <w:qFormat/>
    <w:rsid w:val="00A062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TitlePage">
    <w:name w:val="APA Title Page"/>
    <w:basedOn w:val="Normal"/>
    <w:rsid w:val="00A062FC"/>
    <w:pPr>
      <w:widowControl/>
      <w:overflowPunct/>
      <w:autoSpaceDE/>
      <w:autoSpaceDN/>
      <w:adjustRightInd/>
      <w:spacing w:line="480" w:lineRule="auto"/>
      <w:jc w:val="center"/>
    </w:pPr>
    <w:rPr>
      <w:kern w:val="0"/>
      <w:sz w:val="24"/>
    </w:rPr>
  </w:style>
  <w:style w:type="character" w:customStyle="1" w:styleId="Heading2Char">
    <w:name w:val="Heading 2 Char"/>
    <w:basedOn w:val="DefaultParagraphFont"/>
    <w:link w:val="Heading2"/>
    <w:uiPriority w:val="9"/>
    <w:rsid w:val="00A062FC"/>
    <w:rPr>
      <w:rFonts w:asciiTheme="majorHAnsi" w:eastAsiaTheme="majorEastAsia" w:hAnsiTheme="majorHAnsi" w:cstheme="majorBidi"/>
      <w:b/>
      <w:bCs/>
      <w:color w:val="4F81BD" w:themeColor="accent1"/>
      <w:kern w:val="28"/>
      <w:sz w:val="26"/>
      <w:szCs w:val="26"/>
    </w:rPr>
  </w:style>
  <w:style w:type="paragraph" w:styleId="NoSpacing">
    <w:name w:val="No Spacing"/>
    <w:uiPriority w:val="99"/>
    <w:qFormat/>
    <w:rsid w:val="00CB0C22"/>
    <w:pPr>
      <w:suppressAutoHyphens/>
      <w:spacing w:line="100" w:lineRule="atLeast"/>
    </w:pPr>
    <w:rPr>
      <w:rFonts w:ascii="Calibri" w:eastAsia="Times New Roman" w:hAnsi="Calibri" w:cs="font200"/>
      <w:kern w:val="2"/>
      <w:sz w:val="22"/>
      <w:szCs w:val="22"/>
      <w:lang w:eastAsia="ar-SA"/>
    </w:rPr>
  </w:style>
  <w:style w:type="paragraph" w:styleId="Header">
    <w:name w:val="header"/>
    <w:basedOn w:val="Normal"/>
    <w:link w:val="HeaderChar"/>
    <w:uiPriority w:val="99"/>
    <w:unhideWhenUsed/>
    <w:rsid w:val="00F92EE7"/>
    <w:pPr>
      <w:tabs>
        <w:tab w:val="center" w:pos="4680"/>
        <w:tab w:val="right" w:pos="9360"/>
      </w:tabs>
    </w:pPr>
  </w:style>
  <w:style w:type="character" w:customStyle="1" w:styleId="HeaderChar">
    <w:name w:val="Header Char"/>
    <w:basedOn w:val="DefaultParagraphFont"/>
    <w:link w:val="Header"/>
    <w:uiPriority w:val="99"/>
    <w:rsid w:val="00F92EE7"/>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2EE7"/>
    <w:pPr>
      <w:tabs>
        <w:tab w:val="center" w:pos="4680"/>
        <w:tab w:val="right" w:pos="9360"/>
      </w:tabs>
    </w:pPr>
  </w:style>
  <w:style w:type="character" w:customStyle="1" w:styleId="FooterChar">
    <w:name w:val="Footer Char"/>
    <w:basedOn w:val="DefaultParagraphFont"/>
    <w:link w:val="Footer"/>
    <w:uiPriority w:val="99"/>
    <w:rsid w:val="00F92EE7"/>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F92EE7"/>
    <w:rPr>
      <w:rFonts w:ascii="Tahoma" w:hAnsi="Tahoma" w:cs="Tahoma"/>
      <w:sz w:val="16"/>
      <w:szCs w:val="16"/>
    </w:rPr>
  </w:style>
  <w:style w:type="character" w:customStyle="1" w:styleId="BalloonTextChar">
    <w:name w:val="Balloon Text Char"/>
    <w:basedOn w:val="DefaultParagraphFont"/>
    <w:link w:val="BalloonText"/>
    <w:uiPriority w:val="99"/>
    <w:semiHidden/>
    <w:rsid w:val="00F92EE7"/>
    <w:rPr>
      <w:rFonts w:ascii="Tahoma" w:eastAsia="Times New Roman" w:hAnsi="Tahoma" w:cs="Tahoma"/>
      <w:kern w:val="28"/>
      <w:sz w:val="16"/>
      <w:szCs w:val="16"/>
    </w:rPr>
  </w:style>
  <w:style w:type="character" w:customStyle="1" w:styleId="apple-converted-space">
    <w:name w:val="apple-converted-space"/>
    <w:basedOn w:val="DefaultParagraphFont"/>
    <w:rsid w:val="001065DE"/>
  </w:style>
  <w:style w:type="character" w:styleId="Hyperlink">
    <w:name w:val="Hyperlink"/>
    <w:basedOn w:val="DefaultParagraphFont"/>
    <w:uiPriority w:val="99"/>
    <w:unhideWhenUsed/>
    <w:rsid w:val="002117E4"/>
    <w:rPr>
      <w:color w:val="0000FF" w:themeColor="hyperlink"/>
      <w:u w:val="single"/>
    </w:rPr>
  </w:style>
  <w:style w:type="character" w:styleId="Emphasis">
    <w:name w:val="Emphasis"/>
    <w:basedOn w:val="DefaultParagraphFont"/>
    <w:uiPriority w:val="20"/>
    <w:qFormat/>
    <w:rsid w:val="00AE4B5A"/>
    <w:rPr>
      <w:i/>
      <w:iCs/>
    </w:rPr>
  </w:style>
  <w:style w:type="character" w:styleId="Strong">
    <w:name w:val="Strong"/>
    <w:basedOn w:val="DefaultParagraphFont"/>
    <w:uiPriority w:val="22"/>
    <w:qFormat/>
    <w:rsid w:val="00AE4B5A"/>
    <w:rPr>
      <w:b/>
      <w:bCs/>
    </w:rPr>
  </w:style>
  <w:style w:type="character" w:styleId="CommentReference">
    <w:name w:val="annotation reference"/>
    <w:basedOn w:val="DefaultParagraphFont"/>
    <w:uiPriority w:val="99"/>
    <w:semiHidden/>
    <w:unhideWhenUsed/>
    <w:rsid w:val="0065328E"/>
    <w:rPr>
      <w:sz w:val="16"/>
      <w:szCs w:val="16"/>
    </w:rPr>
  </w:style>
  <w:style w:type="paragraph" w:styleId="CommentText">
    <w:name w:val="annotation text"/>
    <w:basedOn w:val="Normal"/>
    <w:link w:val="CommentTextChar"/>
    <w:uiPriority w:val="99"/>
    <w:semiHidden/>
    <w:unhideWhenUsed/>
    <w:rsid w:val="0065328E"/>
  </w:style>
  <w:style w:type="character" w:customStyle="1" w:styleId="CommentTextChar">
    <w:name w:val="Comment Text Char"/>
    <w:basedOn w:val="DefaultParagraphFont"/>
    <w:link w:val="CommentText"/>
    <w:uiPriority w:val="99"/>
    <w:semiHidden/>
    <w:rsid w:val="0065328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5328E"/>
    <w:rPr>
      <w:b/>
      <w:bCs/>
    </w:rPr>
  </w:style>
  <w:style w:type="character" w:customStyle="1" w:styleId="CommentSubjectChar">
    <w:name w:val="Comment Subject Char"/>
    <w:basedOn w:val="CommentTextChar"/>
    <w:link w:val="CommentSubject"/>
    <w:uiPriority w:val="99"/>
    <w:semiHidden/>
    <w:rsid w:val="0065328E"/>
    <w:rPr>
      <w:rFonts w:ascii="Times New Roman" w:eastAsia="Times New Roman" w:hAnsi="Times New Roman" w:cs="Times New Roman"/>
      <w:b/>
      <w:bCs/>
      <w:kern w:val="28"/>
      <w:sz w:val="20"/>
      <w:szCs w:val="20"/>
    </w:rPr>
  </w:style>
  <w:style w:type="table" w:styleId="TableGrid">
    <w:name w:val="Table Grid"/>
    <w:basedOn w:val="TableNormal"/>
    <w:uiPriority w:val="59"/>
    <w:rsid w:val="00846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padding">
    <w:name w:val="toppadding"/>
    <w:basedOn w:val="Normal"/>
    <w:rsid w:val="005F3153"/>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semiHidden/>
    <w:unhideWhenUsed/>
    <w:rsid w:val="005F3153"/>
    <w:pPr>
      <w:widowControl/>
      <w:overflowPunct/>
      <w:autoSpaceDE/>
      <w:autoSpaceDN/>
      <w:adjustRightInd/>
      <w:spacing w:before="100" w:beforeAutospacing="1" w:after="100" w:afterAutospacing="1"/>
    </w:pPr>
    <w:rPr>
      <w:kern w:val="0"/>
      <w:sz w:val="24"/>
      <w:szCs w:val="24"/>
    </w:rPr>
  </w:style>
  <w:style w:type="character" w:styleId="FollowedHyperlink">
    <w:name w:val="FollowedHyperlink"/>
    <w:basedOn w:val="DefaultParagraphFont"/>
    <w:uiPriority w:val="99"/>
    <w:semiHidden/>
    <w:unhideWhenUsed/>
    <w:rsid w:val="00A279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3053">
      <w:bodyDiv w:val="1"/>
      <w:marLeft w:val="0"/>
      <w:marRight w:val="0"/>
      <w:marTop w:val="0"/>
      <w:marBottom w:val="0"/>
      <w:divBdr>
        <w:top w:val="none" w:sz="0" w:space="0" w:color="auto"/>
        <w:left w:val="none" w:sz="0" w:space="0" w:color="auto"/>
        <w:bottom w:val="none" w:sz="0" w:space="0" w:color="auto"/>
        <w:right w:val="none" w:sz="0" w:space="0" w:color="auto"/>
      </w:divBdr>
    </w:div>
    <w:div w:id="745882888">
      <w:bodyDiv w:val="1"/>
      <w:marLeft w:val="0"/>
      <w:marRight w:val="0"/>
      <w:marTop w:val="0"/>
      <w:marBottom w:val="0"/>
      <w:divBdr>
        <w:top w:val="none" w:sz="0" w:space="0" w:color="auto"/>
        <w:left w:val="none" w:sz="0" w:space="0" w:color="auto"/>
        <w:bottom w:val="none" w:sz="0" w:space="0" w:color="auto"/>
        <w:right w:val="none" w:sz="0" w:space="0" w:color="auto"/>
      </w:divBdr>
    </w:div>
    <w:div w:id="757140344">
      <w:bodyDiv w:val="1"/>
      <w:marLeft w:val="0"/>
      <w:marRight w:val="0"/>
      <w:marTop w:val="0"/>
      <w:marBottom w:val="0"/>
      <w:divBdr>
        <w:top w:val="none" w:sz="0" w:space="0" w:color="auto"/>
        <w:left w:val="none" w:sz="0" w:space="0" w:color="auto"/>
        <w:bottom w:val="none" w:sz="0" w:space="0" w:color="auto"/>
        <w:right w:val="none" w:sz="0" w:space="0" w:color="auto"/>
      </w:divBdr>
    </w:div>
    <w:div w:id="1035154505">
      <w:bodyDiv w:val="1"/>
      <w:marLeft w:val="0"/>
      <w:marRight w:val="0"/>
      <w:marTop w:val="0"/>
      <w:marBottom w:val="0"/>
      <w:divBdr>
        <w:top w:val="none" w:sz="0" w:space="0" w:color="auto"/>
        <w:left w:val="none" w:sz="0" w:space="0" w:color="auto"/>
        <w:bottom w:val="none" w:sz="0" w:space="0" w:color="auto"/>
        <w:right w:val="none" w:sz="0" w:space="0" w:color="auto"/>
      </w:divBdr>
    </w:div>
    <w:div w:id="1099642158">
      <w:bodyDiv w:val="1"/>
      <w:marLeft w:val="0"/>
      <w:marRight w:val="0"/>
      <w:marTop w:val="0"/>
      <w:marBottom w:val="0"/>
      <w:divBdr>
        <w:top w:val="none" w:sz="0" w:space="0" w:color="auto"/>
        <w:left w:val="none" w:sz="0" w:space="0" w:color="auto"/>
        <w:bottom w:val="none" w:sz="0" w:space="0" w:color="auto"/>
        <w:right w:val="none" w:sz="0" w:space="0" w:color="auto"/>
      </w:divBdr>
    </w:div>
    <w:div w:id="1145245023">
      <w:bodyDiv w:val="1"/>
      <w:marLeft w:val="0"/>
      <w:marRight w:val="0"/>
      <w:marTop w:val="0"/>
      <w:marBottom w:val="0"/>
      <w:divBdr>
        <w:top w:val="none" w:sz="0" w:space="0" w:color="auto"/>
        <w:left w:val="none" w:sz="0" w:space="0" w:color="auto"/>
        <w:bottom w:val="none" w:sz="0" w:space="0" w:color="auto"/>
        <w:right w:val="none" w:sz="0" w:space="0" w:color="auto"/>
      </w:divBdr>
    </w:div>
    <w:div w:id="1394280575">
      <w:bodyDiv w:val="1"/>
      <w:marLeft w:val="0"/>
      <w:marRight w:val="0"/>
      <w:marTop w:val="0"/>
      <w:marBottom w:val="0"/>
      <w:divBdr>
        <w:top w:val="none" w:sz="0" w:space="0" w:color="auto"/>
        <w:left w:val="none" w:sz="0" w:space="0" w:color="auto"/>
        <w:bottom w:val="none" w:sz="0" w:space="0" w:color="auto"/>
        <w:right w:val="none" w:sz="0" w:space="0" w:color="auto"/>
      </w:divBdr>
    </w:div>
    <w:div w:id="16582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logs.edmontonjournal.com/2014/01/27/don't-experiment-with-my-children-parents-losing-faith-in-alberta-public"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D18DB0-C706-C34E-AA02-C23B66F2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8711</Words>
  <Characters>49659</Characters>
  <Application>Microsoft Macintosh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58254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Boulanger</dc:creator>
  <cp:keywords/>
  <dc:description/>
  <cp:lastModifiedBy>Jim Carroll</cp:lastModifiedBy>
  <cp:revision>3</cp:revision>
  <cp:lastPrinted>2015-04-07T03:49:00Z</cp:lastPrinted>
  <dcterms:created xsi:type="dcterms:W3CDTF">2015-04-07T14:33:00Z</dcterms:created>
  <dcterms:modified xsi:type="dcterms:W3CDTF">2015-08-05T17:47:00Z</dcterms:modified>
</cp:coreProperties>
</file>